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3B15" w14:textId="77777777" w:rsidR="0044292D" w:rsidRDefault="0057687C">
      <w:pPr>
        <w:rPr>
          <w:b/>
        </w:rPr>
      </w:pPr>
      <w:r>
        <w:rPr>
          <w:b/>
        </w:rPr>
        <w:t>Introduction</w:t>
      </w:r>
    </w:p>
    <w:p w14:paraId="54C4597D" w14:textId="77777777" w:rsidR="0044292D" w:rsidRDefault="0044292D"/>
    <w:p w14:paraId="0BA9E77B" w14:textId="77777777" w:rsidR="0044292D" w:rsidRDefault="0057687C">
      <w:r>
        <w:t>The City Council Zoning and Planning Committee (ZAP) kicked-off the project to revise Newton’s Zoning Ordinance for village center commercial centers in early 2021. The first draft zoning ordinance below, “version 1.0,” represents a multi-year collaborativ</w:t>
      </w:r>
      <w:r>
        <w:t xml:space="preserve">e effort with the City Council, City staff, urban design &amp; economic development consultants, and the Newton Community. </w:t>
      </w:r>
    </w:p>
    <w:p w14:paraId="10220FB6" w14:textId="77777777" w:rsidR="0044292D" w:rsidRDefault="0044292D"/>
    <w:p w14:paraId="05C16B2C" w14:textId="77777777" w:rsidR="0044292D" w:rsidRDefault="0057687C">
      <w:r>
        <w:t>Why is this necessary? While Newton has a strong foundation of diverse and dynamic village centers, the current zoning one-size-fits-al</w:t>
      </w:r>
      <w:r>
        <w:t>l format does not recognize this. This draft set of zoning rules, along with the version 1.0 zoning maps, build upon the successes and uniqueness of each village center, while also guiding development that addresses our current and future needs. In other w</w:t>
      </w:r>
      <w:r>
        <w:t xml:space="preserve">ords, the zoning is the technical tool that supports the community vision like helping small businesses thrive, responding to climate change, developing more diverse &amp; affordable housing, and creating more communal &amp; active spaces. </w:t>
      </w:r>
    </w:p>
    <w:p w14:paraId="68393758" w14:textId="77777777" w:rsidR="0044292D" w:rsidRDefault="0044292D"/>
    <w:p w14:paraId="760D2C4B" w14:textId="77777777" w:rsidR="0044292D" w:rsidRDefault="0057687C">
      <w:pPr>
        <w:rPr>
          <w:b/>
        </w:rPr>
      </w:pPr>
      <w:r>
        <w:rPr>
          <w:b/>
        </w:rPr>
        <w:t>How to read this Docum</w:t>
      </w:r>
      <w:r>
        <w:rPr>
          <w:b/>
        </w:rPr>
        <w:t>ent</w:t>
      </w:r>
    </w:p>
    <w:p w14:paraId="726926B7" w14:textId="77777777" w:rsidR="0044292D" w:rsidRDefault="0044292D">
      <w:pPr>
        <w:rPr>
          <w:b/>
        </w:rPr>
      </w:pPr>
    </w:p>
    <w:p w14:paraId="46FF22DB" w14:textId="77777777" w:rsidR="0044292D" w:rsidRDefault="0057687C">
      <w:r>
        <w:t>Like the draft maps, the draft zoning ordinance is intentionally meant to be reviewed and updated. This is also a working document, with some items not fully resolved. Footnotes are used for sections that need more work, where questions remain, or whe</w:t>
      </w:r>
      <w:r>
        <w:t xml:space="preserve">n additional explanation is needed. </w:t>
      </w:r>
    </w:p>
    <w:p w14:paraId="44E90672" w14:textId="77777777" w:rsidR="0044292D" w:rsidRDefault="0044292D"/>
    <w:p w14:paraId="3AA929EB" w14:textId="77777777" w:rsidR="0044292D" w:rsidRDefault="0057687C">
      <w:pPr>
        <w:rPr>
          <w:b/>
        </w:rPr>
      </w:pPr>
      <w:r>
        <w:rPr>
          <w:b/>
        </w:rPr>
        <w:t>Table of Contents</w:t>
      </w:r>
    </w:p>
    <w:p w14:paraId="06B9E26F" w14:textId="77777777" w:rsidR="0044292D" w:rsidRDefault="0044292D"/>
    <w:p w14:paraId="2430696F" w14:textId="77777777" w:rsidR="0044292D" w:rsidRDefault="0057687C">
      <w:r>
        <w:t>1. Applicability (overlay districts generally)</w:t>
      </w:r>
    </w:p>
    <w:p w14:paraId="70498822" w14:textId="77777777" w:rsidR="0044292D" w:rsidRDefault="0057687C">
      <w:r>
        <w:t>2.1. Village Center Overlay District (VCOD)</w:t>
      </w:r>
    </w:p>
    <w:p w14:paraId="4FF88520" w14:textId="77777777" w:rsidR="0044292D" w:rsidRDefault="0057687C">
      <w:r>
        <w:t>2.2. Intent and Purpose</w:t>
      </w:r>
    </w:p>
    <w:p w14:paraId="0C17F15F" w14:textId="77777777" w:rsidR="0044292D" w:rsidRDefault="0057687C">
      <w:r>
        <w:t>2.3. Definitions</w:t>
      </w:r>
    </w:p>
    <w:p w14:paraId="0D938DB3" w14:textId="77777777" w:rsidR="0044292D" w:rsidRDefault="0057687C">
      <w:r>
        <w:t>2.4. Development Review</w:t>
      </w:r>
    </w:p>
    <w:p w14:paraId="70AFCABD" w14:textId="77777777" w:rsidR="0044292D" w:rsidRDefault="0057687C">
      <w:r>
        <w:t>2.5. Dimensional Standards</w:t>
      </w:r>
    </w:p>
    <w:p w14:paraId="2301B623" w14:textId="77777777" w:rsidR="0044292D" w:rsidRDefault="0057687C">
      <w:r>
        <w:t>2.6. Development</w:t>
      </w:r>
      <w:r>
        <w:t xml:space="preserve"> and Design Standards (Lot, Building, and Site Standards)</w:t>
      </w:r>
    </w:p>
    <w:p w14:paraId="13B531C3" w14:textId="77777777" w:rsidR="0044292D" w:rsidRDefault="0057687C">
      <w:r>
        <w:t>2.7. Design Guidelines (Lot, Building, and Site Guidelines)</w:t>
      </w:r>
    </w:p>
    <w:p w14:paraId="2942BF89" w14:textId="77777777" w:rsidR="0044292D" w:rsidRDefault="0057687C">
      <w:r>
        <w:t>2.8. Allowed Uses</w:t>
      </w:r>
    </w:p>
    <w:p w14:paraId="00BABF5E" w14:textId="77777777" w:rsidR="0044292D" w:rsidRDefault="0057687C">
      <w:r>
        <w:t>2.9. Parking Requirements</w:t>
      </w:r>
    </w:p>
    <w:p w14:paraId="174C2F66" w14:textId="77777777" w:rsidR="0044292D" w:rsidRDefault="0044292D"/>
    <w:p w14:paraId="60C32303" w14:textId="77777777" w:rsidR="0044292D" w:rsidRDefault="0057687C">
      <w:r>
        <w:t>*********************************************************************************************</w:t>
      </w:r>
      <w:r>
        <w:t>****************</w:t>
      </w:r>
    </w:p>
    <w:p w14:paraId="39230FF5" w14:textId="77777777" w:rsidR="0044292D" w:rsidRDefault="0057687C">
      <w:r>
        <w:br w:type="page"/>
      </w:r>
    </w:p>
    <w:p w14:paraId="1127EE57" w14:textId="77777777" w:rsidR="0044292D" w:rsidRDefault="0057687C">
      <w:pPr>
        <w:numPr>
          <w:ilvl w:val="0"/>
          <w:numId w:val="1"/>
        </w:numPr>
      </w:pPr>
      <w:r>
        <w:lastRenderedPageBreak/>
        <w:t>Applicability.</w:t>
      </w:r>
    </w:p>
    <w:p w14:paraId="43EF4C42" w14:textId="77777777" w:rsidR="0044292D" w:rsidRDefault="0057687C">
      <w:pPr>
        <w:numPr>
          <w:ilvl w:val="1"/>
          <w:numId w:val="1"/>
        </w:numPr>
      </w:pPr>
      <w:r>
        <w:t>General</w:t>
      </w:r>
    </w:p>
    <w:p w14:paraId="4E4D52D9" w14:textId="77777777" w:rsidR="0044292D" w:rsidRDefault="0057687C">
      <w:pPr>
        <w:numPr>
          <w:ilvl w:val="0"/>
          <w:numId w:val="8"/>
        </w:numPr>
      </w:pPr>
      <w:r>
        <w:t>The provisions of Article # shall apply to all real property within a defined Overlay District as shown on the Newton Zoning Map. It is intended that the provisions of these Overlay Districts will modify the form, location, and use of buildings by applying</w:t>
      </w:r>
      <w:r>
        <w:t xml:space="preserve"> special dimensional, use, and other standards in a variety of areas in the City tailored to those specific areas and relevant policy objectives. Overlay District provisions may be voluntary or required based on the following criteria:</w:t>
      </w:r>
      <w:r>
        <w:rPr>
          <w:vertAlign w:val="superscript"/>
        </w:rPr>
        <w:footnoteReference w:id="1"/>
      </w:r>
    </w:p>
    <w:p w14:paraId="077024A1" w14:textId="77777777" w:rsidR="0044292D" w:rsidRDefault="0057687C">
      <w:pPr>
        <w:numPr>
          <w:ilvl w:val="1"/>
          <w:numId w:val="8"/>
        </w:numPr>
      </w:pPr>
      <w:r>
        <w:t>Where a site has n</w:t>
      </w:r>
      <w:r>
        <w:t>ot been previously reviewed and developed under an Overlay District, development may occur in accordance with the underlying zoning district or the Overlay District. Submittal for an Overlay District development application shall be voluntary.</w:t>
      </w:r>
    </w:p>
    <w:p w14:paraId="7439E723" w14:textId="77777777" w:rsidR="0044292D" w:rsidRDefault="0057687C">
      <w:pPr>
        <w:numPr>
          <w:ilvl w:val="1"/>
          <w:numId w:val="8"/>
        </w:numPr>
      </w:pPr>
      <w:r>
        <w:t>Where develo</w:t>
      </w:r>
      <w:r>
        <w:t>pment activity for a given site was reviewed and approved as part of any Overlay District, but a building permit has not been issued by the City of Newton, future review for development applications on the site may either be under the Overlay District or t</w:t>
      </w:r>
      <w:r>
        <w:t>hose of the underlying zoning district.</w:t>
      </w:r>
    </w:p>
    <w:p w14:paraId="6C6521D3" w14:textId="77777777" w:rsidR="0044292D" w:rsidRDefault="0057687C">
      <w:pPr>
        <w:numPr>
          <w:ilvl w:val="1"/>
          <w:numId w:val="8"/>
        </w:numPr>
      </w:pPr>
      <w:r>
        <w:t>Where development activity for a given site was reviewed and approved as part of any Overlay District, and a building permit has been issued by the City of Newton, any future development applications shall be reviewe</w:t>
      </w:r>
      <w:r>
        <w:t>d in accordance with the procedures and standards of the Overlay District.</w:t>
      </w:r>
    </w:p>
    <w:p w14:paraId="7ECF7C15" w14:textId="77777777" w:rsidR="0044292D" w:rsidRDefault="0057687C">
      <w:pPr>
        <w:numPr>
          <w:ilvl w:val="0"/>
          <w:numId w:val="8"/>
        </w:numPr>
      </w:pPr>
      <w:r>
        <w:t>Conflicts. If the applicant chooses development under an Overlay District, and where conflicts exist between the Overlay District and the rest of the City of Newton Zoning Ordinance</w:t>
      </w:r>
      <w:r>
        <w:t>, the Overlay District regulations shall apply.</w:t>
      </w:r>
      <w:r>
        <w:br/>
      </w:r>
    </w:p>
    <w:p w14:paraId="78D82923" w14:textId="77777777" w:rsidR="0044292D" w:rsidRDefault="0057687C">
      <w:pPr>
        <w:numPr>
          <w:ilvl w:val="0"/>
          <w:numId w:val="7"/>
        </w:numPr>
      </w:pPr>
      <w:r>
        <w:t>Village Center Overlay District (VCOD)</w:t>
      </w:r>
    </w:p>
    <w:p w14:paraId="17AF1921" w14:textId="77777777" w:rsidR="0044292D" w:rsidRDefault="0057687C">
      <w:pPr>
        <w:numPr>
          <w:ilvl w:val="1"/>
          <w:numId w:val="7"/>
        </w:numPr>
      </w:pPr>
      <w:r>
        <w:t>District Intent.</w:t>
      </w:r>
    </w:p>
    <w:p w14:paraId="3363D2BE" w14:textId="77777777" w:rsidR="0044292D" w:rsidRDefault="0057687C">
      <w:pPr>
        <w:numPr>
          <w:ilvl w:val="0"/>
          <w:numId w:val="10"/>
        </w:numPr>
      </w:pPr>
      <w:r>
        <w:t>Allow the development of buildings and uses appropriate to Newton’s village centers and aligned with the vision of the City’s Comprehensive Plan and ot</w:t>
      </w:r>
      <w:r>
        <w:t>her policy documents.</w:t>
      </w:r>
    </w:p>
    <w:p w14:paraId="17988F01" w14:textId="77777777" w:rsidR="0044292D" w:rsidRDefault="0057687C">
      <w:pPr>
        <w:numPr>
          <w:ilvl w:val="0"/>
          <w:numId w:val="10"/>
        </w:numPr>
      </w:pPr>
      <w:r>
        <w:t>Encourage development that fosters compact, pedestrian-oriented villages with a diverse mix of residences, shops, offices, institutions, and opportunities for entertainment.</w:t>
      </w:r>
    </w:p>
    <w:p w14:paraId="52B2D3E2" w14:textId="77777777" w:rsidR="0044292D" w:rsidRDefault="0057687C">
      <w:pPr>
        <w:numPr>
          <w:ilvl w:val="0"/>
          <w:numId w:val="10"/>
        </w:numPr>
      </w:pPr>
      <w:r>
        <w:t xml:space="preserve">Allow sufficient density and intensity of uses to promote a </w:t>
      </w:r>
      <w:r>
        <w:t>lively pedestrian environment, public transit, and variety of businesses that serve the needs of the community.</w:t>
      </w:r>
    </w:p>
    <w:p w14:paraId="3177599F" w14:textId="77777777" w:rsidR="0044292D" w:rsidRDefault="0057687C">
      <w:pPr>
        <w:numPr>
          <w:ilvl w:val="0"/>
          <w:numId w:val="10"/>
        </w:numPr>
      </w:pPr>
      <w:r>
        <w:t xml:space="preserve">Expand the diversity of housing options available in the </w:t>
      </w:r>
      <w:proofErr w:type="gramStart"/>
      <w:r>
        <w:t>City</w:t>
      </w:r>
      <w:proofErr w:type="gramEnd"/>
      <w:r>
        <w:t>.</w:t>
      </w:r>
    </w:p>
    <w:p w14:paraId="4AB5FE68" w14:textId="77777777" w:rsidR="0044292D" w:rsidRDefault="0057687C">
      <w:pPr>
        <w:numPr>
          <w:ilvl w:val="0"/>
          <w:numId w:val="10"/>
        </w:numPr>
      </w:pPr>
      <w:r>
        <w:lastRenderedPageBreak/>
        <w:t>Promote the health and well-being of the community by encouraging physical activi</w:t>
      </w:r>
      <w:r>
        <w:t>ty, use of alternative modes of transportation, and creating a sense of place.</w:t>
      </w:r>
    </w:p>
    <w:p w14:paraId="42EDA6DC" w14:textId="77777777" w:rsidR="0044292D" w:rsidRDefault="0057687C">
      <w:pPr>
        <w:numPr>
          <w:ilvl w:val="0"/>
          <w:numId w:val="10"/>
        </w:numPr>
      </w:pPr>
      <w:r>
        <w:t>Facilitate compliance with the multi-family zoning requirement for MBTA communities pursuant to M.G.L. Chapter 40A, Section 3A.</w:t>
      </w:r>
      <w:r>
        <w:br/>
      </w:r>
    </w:p>
    <w:p w14:paraId="32271FE9" w14:textId="77777777" w:rsidR="0044292D" w:rsidRDefault="0057687C">
      <w:pPr>
        <w:numPr>
          <w:ilvl w:val="1"/>
          <w:numId w:val="7"/>
        </w:numPr>
      </w:pPr>
      <w:r>
        <w:t>District Purpose.</w:t>
      </w:r>
    </w:p>
    <w:p w14:paraId="22000D41" w14:textId="77777777" w:rsidR="0044292D" w:rsidRDefault="0057687C">
      <w:pPr>
        <w:ind w:left="1440"/>
      </w:pPr>
      <w:r>
        <w:t>The Village Center Overlay Dis</w:t>
      </w:r>
      <w:r>
        <w:t>trict (VCOD) has been divided into three distinct tiers of districts:</w:t>
      </w:r>
    </w:p>
    <w:p w14:paraId="770947C2" w14:textId="77777777" w:rsidR="0044292D" w:rsidRDefault="0057687C">
      <w:pPr>
        <w:numPr>
          <w:ilvl w:val="0"/>
          <w:numId w:val="11"/>
        </w:numPr>
      </w:pPr>
      <w:r>
        <w:t>Village Center 1 (VC1). The VC1 District facilitates small- to medium-scale multi-family buildings given its proximity to amenities, mixture of uses, and transit options found in Newton’</w:t>
      </w:r>
      <w:r>
        <w:t xml:space="preserve">s village centers. This district acts as a transition between the mixed-use cores of village centers and the surrounding residential neighborhoods. </w:t>
      </w:r>
    </w:p>
    <w:p w14:paraId="3A12D2D1" w14:textId="77777777" w:rsidR="0044292D" w:rsidRDefault="0057687C">
      <w:pPr>
        <w:numPr>
          <w:ilvl w:val="0"/>
          <w:numId w:val="11"/>
        </w:numPr>
      </w:pPr>
      <w:r>
        <w:t>Village Center 2 (VC2). The VC2 District facilitates mixed-use and residential development of moderate scal</w:t>
      </w:r>
      <w:r>
        <w:t xml:space="preserve">e. This district serves as the core of some village centers and as a transition district for other village centers. Buildings are typically set close to the sidewalk to create a defined street wall that supports pedestrian activity and a sense of </w:t>
      </w:r>
      <w:proofErr w:type="spellStart"/>
      <w:proofErr w:type="gramStart"/>
      <w:r>
        <w:t>place.Gro</w:t>
      </w:r>
      <w:r>
        <w:t>und</w:t>
      </w:r>
      <w:proofErr w:type="spellEnd"/>
      <w:proofErr w:type="gramEnd"/>
      <w:r>
        <w:t xml:space="preserve"> story active uses address the needs of residents and employees in the immediate neighborhood as well as the larger Newton Community.</w:t>
      </w:r>
    </w:p>
    <w:p w14:paraId="7F2E60C8" w14:textId="77777777" w:rsidR="0044292D" w:rsidRDefault="0057687C">
      <w:pPr>
        <w:numPr>
          <w:ilvl w:val="0"/>
          <w:numId w:val="11"/>
        </w:numPr>
      </w:pPr>
      <w:r>
        <w:t xml:space="preserve">Village Center 3 (VC3). The VC3 District facilitates mixed-use development of moderate- and large-scale. This district </w:t>
      </w:r>
      <w:r>
        <w:t xml:space="preserve">serves as the core commercial zone of certain village centers, particularly those with access to mass transit. Buildings are typically set close to the sidewalk to create a defined street wall that supports pedestrian activity and a sense of place. Ground </w:t>
      </w:r>
      <w:r>
        <w:t>story active uses address the needs of residents and employees in the immediate neighborhood, the larger Newton Community, and regional visitors.</w:t>
      </w:r>
      <w:r>
        <w:br/>
      </w:r>
    </w:p>
    <w:p w14:paraId="3143D616" w14:textId="77777777" w:rsidR="0044292D" w:rsidRDefault="0057687C">
      <w:pPr>
        <w:numPr>
          <w:ilvl w:val="1"/>
          <w:numId w:val="7"/>
        </w:numPr>
      </w:pPr>
      <w:r>
        <w:t>Definitions</w:t>
      </w:r>
    </w:p>
    <w:p w14:paraId="1278E688" w14:textId="77777777" w:rsidR="0044292D" w:rsidRDefault="0057687C">
      <w:pPr>
        <w:ind w:left="1440"/>
      </w:pPr>
      <w:r>
        <w:t>In addition to the definitions found in Article 8 Definition, the following definitions apply. Wh</w:t>
      </w:r>
      <w:r>
        <w:t>ere conflicts exist between the Overlay District definitions and definitions within the rest of the City of Newton Zoning Ordinance, the Overlay District definitions shall apply.</w:t>
      </w:r>
    </w:p>
    <w:p w14:paraId="4330AF65" w14:textId="77777777" w:rsidR="0044292D" w:rsidRDefault="0057687C">
      <w:pPr>
        <w:numPr>
          <w:ilvl w:val="0"/>
          <w:numId w:val="6"/>
        </w:numPr>
      </w:pPr>
      <w:r>
        <w:t xml:space="preserve">Awning. A roof-like covering of canvas or other material attached to a metal </w:t>
      </w:r>
      <w:r>
        <w:t>or other frame and supported entirely from a building or other structure.</w:t>
      </w:r>
    </w:p>
    <w:p w14:paraId="3DC5942D" w14:textId="77777777" w:rsidR="0044292D" w:rsidRDefault="0057687C">
      <w:pPr>
        <w:numPr>
          <w:ilvl w:val="0"/>
          <w:numId w:val="6"/>
        </w:numPr>
      </w:pPr>
      <w:r>
        <w:t>Balcony. An unenclosed platform with a railing that provides outdoor amenity space on upper stories.</w:t>
      </w:r>
    </w:p>
    <w:p w14:paraId="5FD25E0F" w14:textId="77777777" w:rsidR="0044292D" w:rsidRDefault="0057687C">
      <w:pPr>
        <w:numPr>
          <w:ilvl w:val="0"/>
          <w:numId w:val="6"/>
        </w:numPr>
      </w:pPr>
      <w:r>
        <w:t>Basement. See Section 1.5.4.D.</w:t>
      </w:r>
    </w:p>
    <w:p w14:paraId="246F4BE1" w14:textId="77777777" w:rsidR="0044292D" w:rsidRDefault="0057687C">
      <w:pPr>
        <w:numPr>
          <w:ilvl w:val="0"/>
          <w:numId w:val="6"/>
        </w:numPr>
      </w:pPr>
      <w:r>
        <w:t>Bay. A Bay is a window assembly extending from the main body of a building to permit increased light, provide multi-direction views, and articulate a building wall. Two Bays can connect around corners to create distinctive living space or terminate in an i</w:t>
      </w:r>
      <w:r>
        <w:t>mportant axis.</w:t>
      </w:r>
    </w:p>
    <w:p w14:paraId="5CBEB5D4" w14:textId="77777777" w:rsidR="0044292D" w:rsidRDefault="0057687C">
      <w:pPr>
        <w:numPr>
          <w:ilvl w:val="0"/>
          <w:numId w:val="6"/>
        </w:numPr>
      </w:pPr>
      <w:r>
        <w:t>Build-To-Zone. Area between the minimum and maximum front setbacks.</w:t>
      </w:r>
    </w:p>
    <w:p w14:paraId="1B525D9C" w14:textId="77777777" w:rsidR="0044292D" w:rsidRDefault="0057687C">
      <w:pPr>
        <w:numPr>
          <w:ilvl w:val="0"/>
          <w:numId w:val="6"/>
        </w:numPr>
      </w:pPr>
      <w:r>
        <w:lastRenderedPageBreak/>
        <w:t xml:space="preserve">Building Footprint Area. </w:t>
      </w:r>
      <w:r>
        <w:t>Area of the largest floor of the building as measured to the exterior faces of the walls, including decks over surface parking areas that extend more than 8’ from the building face.</w:t>
      </w:r>
    </w:p>
    <w:p w14:paraId="41DDEA1C" w14:textId="77777777" w:rsidR="0044292D" w:rsidRDefault="0057687C">
      <w:pPr>
        <w:numPr>
          <w:ilvl w:val="0"/>
          <w:numId w:val="6"/>
        </w:numPr>
      </w:pPr>
      <w:r>
        <w:t>Canopy. A wall-mounted structure that provides shade and weather protectio</w:t>
      </w:r>
      <w:r>
        <w:t>n over a storefront or building entrance.</w:t>
      </w:r>
    </w:p>
    <w:p w14:paraId="796B161A" w14:textId="77777777" w:rsidR="0044292D" w:rsidRDefault="0057687C">
      <w:pPr>
        <w:numPr>
          <w:ilvl w:val="0"/>
          <w:numId w:val="6"/>
        </w:numPr>
      </w:pPr>
      <w:r>
        <w:t>Development. The subdivision or land platting of a development site; the construction or modification of any principal building type, accessory building type, or other structure; the excavation, fill, or grading of</w:t>
      </w:r>
      <w:r>
        <w:t xml:space="preserve"> land. and the establishment, change, or expansion of any use of any structure or land.</w:t>
      </w:r>
    </w:p>
    <w:p w14:paraId="1C3BCCCC" w14:textId="77777777" w:rsidR="0044292D" w:rsidRDefault="0057687C">
      <w:pPr>
        <w:numPr>
          <w:ilvl w:val="0"/>
          <w:numId w:val="6"/>
        </w:numPr>
      </w:pPr>
      <w:r>
        <w:t>Facade Build Out Ratio. The ratio of the width of the entire Front Elevation to the Lot Width.</w:t>
      </w:r>
    </w:p>
    <w:p w14:paraId="3D2C7092" w14:textId="77777777" w:rsidR="0044292D" w:rsidRDefault="0057687C">
      <w:pPr>
        <w:numPr>
          <w:ilvl w:val="0"/>
          <w:numId w:val="6"/>
        </w:numPr>
      </w:pPr>
      <w:r>
        <w:t xml:space="preserve">Frontage Area. The area of a lot between the building facade(s) and </w:t>
      </w:r>
      <w:proofErr w:type="gramStart"/>
      <w:r>
        <w:t xml:space="preserve">any  </w:t>
      </w:r>
      <w:r>
        <w:t>front</w:t>
      </w:r>
      <w:proofErr w:type="gramEnd"/>
      <w:r>
        <w:t xml:space="preserve"> lot line(s), extending fully to each side lot line(s).</w:t>
      </w:r>
    </w:p>
    <w:p w14:paraId="6CE76F4C" w14:textId="77777777" w:rsidR="0044292D" w:rsidRDefault="0057687C">
      <w:pPr>
        <w:numPr>
          <w:ilvl w:val="0"/>
          <w:numId w:val="6"/>
        </w:numPr>
      </w:pPr>
      <w:r>
        <w:t>Frontage Type. A distinct combination of façade and frontage area design features.</w:t>
      </w:r>
    </w:p>
    <w:p w14:paraId="05A5A3C9" w14:textId="77777777" w:rsidR="0044292D" w:rsidRDefault="0057687C">
      <w:pPr>
        <w:numPr>
          <w:ilvl w:val="0"/>
          <w:numId w:val="6"/>
        </w:numPr>
      </w:pPr>
      <w:r>
        <w:t>Front Elevation. The exterior wall of a building oriented in whole or in part toward the public right of way.</w:t>
      </w:r>
    </w:p>
    <w:p w14:paraId="3E88FC29" w14:textId="77777777" w:rsidR="0044292D" w:rsidRDefault="0057687C">
      <w:pPr>
        <w:numPr>
          <w:ilvl w:val="0"/>
          <w:numId w:val="6"/>
        </w:numPr>
      </w:pPr>
      <w:r>
        <w:t>Fu</w:t>
      </w:r>
      <w:r>
        <w:t xml:space="preserve">rnishing Zone. The portion of the sidewalk between the curb and </w:t>
      </w:r>
      <w:proofErr w:type="gramStart"/>
      <w:r>
        <w:t>the  walkway</w:t>
      </w:r>
      <w:proofErr w:type="gramEnd"/>
      <w:r>
        <w:t xml:space="preserve"> that is used for street trees, landscaping, transit stops, street lights, and site furnishing.</w:t>
      </w:r>
    </w:p>
    <w:p w14:paraId="283E75D5" w14:textId="77777777" w:rsidR="0044292D" w:rsidRDefault="0057687C">
      <w:pPr>
        <w:numPr>
          <w:ilvl w:val="0"/>
          <w:numId w:val="6"/>
        </w:numPr>
      </w:pPr>
      <w:r>
        <w:t>Lot Line. See Section 1.5.2.A.</w:t>
      </w:r>
    </w:p>
    <w:p w14:paraId="7F3B240C" w14:textId="77777777" w:rsidR="0044292D" w:rsidRDefault="0057687C">
      <w:pPr>
        <w:numPr>
          <w:ilvl w:val="0"/>
          <w:numId w:val="6"/>
        </w:numPr>
      </w:pPr>
      <w:r>
        <w:t>Lot Line, Front. The lot line abutting a street or ri</w:t>
      </w:r>
      <w:r>
        <w:t>ght of way.</w:t>
      </w:r>
    </w:p>
    <w:p w14:paraId="1AE2DEFE" w14:textId="77777777" w:rsidR="0044292D" w:rsidRDefault="0057687C">
      <w:pPr>
        <w:numPr>
          <w:ilvl w:val="0"/>
          <w:numId w:val="6"/>
        </w:numPr>
      </w:pPr>
      <w:r>
        <w:t>Lot Line, Side. Any lot line other than a front or rear lot line.</w:t>
      </w:r>
    </w:p>
    <w:p w14:paraId="0C9168DA" w14:textId="77777777" w:rsidR="0044292D" w:rsidRDefault="0057687C">
      <w:pPr>
        <w:numPr>
          <w:ilvl w:val="0"/>
          <w:numId w:val="6"/>
        </w:numPr>
      </w:pPr>
      <w:r>
        <w:t xml:space="preserve">Lot Line, Rear. Any lot line which is parallel to or within forty-five (45 degrees) of being parallel to a front lot line, unless that lot line is a side lot line of an abutting </w:t>
      </w:r>
      <w:r>
        <w:t>lot.</w:t>
      </w:r>
    </w:p>
    <w:p w14:paraId="41703DF9" w14:textId="77777777" w:rsidR="0044292D" w:rsidRDefault="0057687C">
      <w:pPr>
        <w:numPr>
          <w:ilvl w:val="0"/>
          <w:numId w:val="6"/>
        </w:numPr>
      </w:pPr>
      <w:r>
        <w:t xml:space="preserve">Lot Width. The length of the front lot line of a lot. </w:t>
      </w:r>
    </w:p>
    <w:p w14:paraId="0A065DF1" w14:textId="77777777" w:rsidR="0044292D" w:rsidRDefault="0057687C">
      <w:pPr>
        <w:numPr>
          <w:ilvl w:val="0"/>
          <w:numId w:val="6"/>
        </w:numPr>
      </w:pPr>
      <w:r>
        <w:t>Open Space, Usable. See definition in Article 8.</w:t>
      </w:r>
    </w:p>
    <w:p w14:paraId="314E89EB" w14:textId="77777777" w:rsidR="0044292D" w:rsidRDefault="0057687C">
      <w:pPr>
        <w:numPr>
          <w:ilvl w:val="0"/>
          <w:numId w:val="6"/>
        </w:numPr>
      </w:pPr>
      <w:r>
        <w:t>Party Wall. A wall separating two attached buildings.</w:t>
      </w:r>
    </w:p>
    <w:p w14:paraId="2D0DCC05" w14:textId="77777777" w:rsidR="0044292D" w:rsidRDefault="0057687C">
      <w:pPr>
        <w:numPr>
          <w:ilvl w:val="0"/>
          <w:numId w:val="6"/>
        </w:numPr>
      </w:pPr>
      <w:r>
        <w:t>Principal Entrance. The addressed entrance to a building or commercial space.</w:t>
      </w:r>
    </w:p>
    <w:p w14:paraId="0558B8E2" w14:textId="77777777" w:rsidR="0044292D" w:rsidRDefault="0057687C">
      <w:pPr>
        <w:numPr>
          <w:ilvl w:val="0"/>
          <w:numId w:val="6"/>
        </w:numPr>
      </w:pPr>
      <w:r>
        <w:t xml:space="preserve">Screening. See </w:t>
      </w:r>
      <w:r>
        <w:t>Section 5.1.9.</w:t>
      </w:r>
    </w:p>
    <w:p w14:paraId="37B95A25" w14:textId="77777777" w:rsidR="0044292D" w:rsidRDefault="0057687C">
      <w:pPr>
        <w:numPr>
          <w:ilvl w:val="0"/>
          <w:numId w:val="6"/>
        </w:numPr>
      </w:pPr>
      <w:r>
        <w:t>Step-Back. A recess of an upper story façade a set distance behind the façade of the story below.</w:t>
      </w:r>
    </w:p>
    <w:p w14:paraId="5CC3FF14" w14:textId="77777777" w:rsidR="0044292D" w:rsidRDefault="0057687C">
      <w:pPr>
        <w:numPr>
          <w:ilvl w:val="0"/>
          <w:numId w:val="6"/>
        </w:numPr>
      </w:pPr>
      <w:r>
        <w:t>Story. See Section 1.5.4.</w:t>
      </w:r>
    </w:p>
    <w:p w14:paraId="661D8099" w14:textId="77777777" w:rsidR="0044292D" w:rsidRDefault="0057687C">
      <w:pPr>
        <w:numPr>
          <w:ilvl w:val="0"/>
          <w:numId w:val="6"/>
        </w:numPr>
      </w:pPr>
      <w:r>
        <w:t>Story, Ground. The lowest story of a building with a finished floor at or above the finished ground level next to a b</w:t>
      </w:r>
      <w:r>
        <w:t xml:space="preserve">uilding at the facade. </w:t>
      </w:r>
    </w:p>
    <w:p w14:paraId="14DB61B9" w14:textId="77777777" w:rsidR="0044292D" w:rsidRDefault="0057687C">
      <w:pPr>
        <w:numPr>
          <w:ilvl w:val="0"/>
          <w:numId w:val="6"/>
        </w:numPr>
      </w:pPr>
      <w:r>
        <w:t xml:space="preserve">Story, Half. See VCOD Section 2.6.B.3 </w:t>
      </w:r>
    </w:p>
    <w:p w14:paraId="3F40BE83" w14:textId="77777777" w:rsidR="0044292D" w:rsidRDefault="0057687C">
      <w:pPr>
        <w:numPr>
          <w:ilvl w:val="0"/>
          <w:numId w:val="6"/>
        </w:numPr>
      </w:pPr>
      <w:r>
        <w:t>Substantial Renovation. Any modification, interior renovation, or both of an existing principal building that exceeds fifty percent (50%) of the assessed value of the building, as identified on</w:t>
      </w:r>
      <w:r>
        <w:t xml:space="preserve"> the most recent tax list maintained by the Assessor’s Office of the City of Newton, within any twelve (12) month period. </w:t>
      </w:r>
    </w:p>
    <w:p w14:paraId="03A49C64" w14:textId="77777777" w:rsidR="00777639" w:rsidRDefault="0057687C" w:rsidP="00777639">
      <w:pPr>
        <w:numPr>
          <w:ilvl w:val="0"/>
          <w:numId w:val="6"/>
        </w:numPr>
      </w:pPr>
      <w:r>
        <w:t>Transit Area. All lots within one-quarter (1/4) mile of a transit station within the VCOD as shown on the Newton Zoning Map.</w:t>
      </w:r>
    </w:p>
    <w:p w14:paraId="01E7F7E2" w14:textId="7206A2E8" w:rsidR="0044292D" w:rsidRDefault="0057687C" w:rsidP="00777639">
      <w:pPr>
        <w:numPr>
          <w:ilvl w:val="0"/>
          <w:numId w:val="6"/>
        </w:numPr>
        <w:ind w:left="1620" w:hanging="450"/>
      </w:pPr>
      <w:r>
        <w:lastRenderedPageBreak/>
        <w:t xml:space="preserve">Transit </w:t>
      </w:r>
      <w:r>
        <w:t>Station. Any existing or planned station of the MBTA’s light rail and heavy rail rapid transit lines within the City of Newton as Shown on the Newton Zoning Map.</w:t>
      </w:r>
      <w:r>
        <w:br/>
      </w:r>
    </w:p>
    <w:p w14:paraId="3B1D5C63" w14:textId="77777777" w:rsidR="0044292D" w:rsidRDefault="0057687C">
      <w:pPr>
        <w:numPr>
          <w:ilvl w:val="1"/>
          <w:numId w:val="7"/>
        </w:numPr>
      </w:pPr>
      <w:r>
        <w:t>Development Review</w:t>
      </w:r>
    </w:p>
    <w:p w14:paraId="706E2026" w14:textId="77777777" w:rsidR="0044292D" w:rsidRDefault="0057687C">
      <w:pPr>
        <w:numPr>
          <w:ilvl w:val="0"/>
          <w:numId w:val="4"/>
        </w:numPr>
      </w:pPr>
      <w:r>
        <w:t>Applicability.</w:t>
      </w:r>
    </w:p>
    <w:p w14:paraId="4BD44F02" w14:textId="77777777" w:rsidR="0044292D" w:rsidRDefault="0057687C">
      <w:pPr>
        <w:numPr>
          <w:ilvl w:val="1"/>
          <w:numId w:val="4"/>
        </w:numPr>
      </w:pPr>
      <w:r>
        <w:t>The density and dimensional controls in Sec. # apply to all buildings, structures and uses in each of the listed VCOD classes.</w:t>
      </w:r>
      <w:r>
        <w:rPr>
          <w:rFonts w:ascii="Calibri" w:eastAsia="Calibri" w:hAnsi="Calibri" w:cs="Calibri"/>
          <w:sz w:val="16"/>
          <w:szCs w:val="16"/>
        </w:rPr>
        <w:t xml:space="preserve"> </w:t>
      </w:r>
    </w:p>
    <w:p w14:paraId="2AE7EDA6" w14:textId="77777777" w:rsidR="0044292D" w:rsidRDefault="0057687C">
      <w:pPr>
        <w:numPr>
          <w:ilvl w:val="1"/>
          <w:numId w:val="4"/>
        </w:numPr>
      </w:pPr>
      <w:r>
        <w:t>Where buildings, structures, or uses do not meet these standards they are nonconforming (See Sec. #).</w:t>
      </w:r>
      <w:r>
        <w:rPr>
          <w:vertAlign w:val="superscript"/>
        </w:rPr>
        <w:footnoteReference w:id="2"/>
      </w:r>
    </w:p>
    <w:p w14:paraId="1E94BEB1" w14:textId="77777777" w:rsidR="0044292D" w:rsidRDefault="0057687C">
      <w:pPr>
        <w:numPr>
          <w:ilvl w:val="0"/>
          <w:numId w:val="4"/>
        </w:numPr>
      </w:pPr>
      <w:r>
        <w:t>Approval Process.</w:t>
      </w:r>
      <w:r>
        <w:rPr>
          <w:vertAlign w:val="superscript"/>
        </w:rPr>
        <w:footnoteReference w:id="3"/>
      </w:r>
      <w:r>
        <w:br/>
        <w:t>Deve</w:t>
      </w:r>
      <w:r>
        <w:t xml:space="preserve">lopment on any lot, by-right or by Special Permit, requires the submission of development review materials as required in Article 7, except as modified herein. A pre-submittal discussion or meeting with the Planning Department and/or Inspectional Services </w:t>
      </w:r>
      <w:r>
        <w:t>Department is recommended for all development.</w:t>
      </w:r>
    </w:p>
    <w:p w14:paraId="4B64476B" w14:textId="77777777" w:rsidR="0044292D" w:rsidRDefault="0057687C">
      <w:pPr>
        <w:numPr>
          <w:ilvl w:val="1"/>
          <w:numId w:val="4"/>
        </w:numPr>
      </w:pPr>
      <w:r>
        <w:t xml:space="preserve">Special Permit Required. A Special Permit is required for any Development in the Village Center 1, 2, and 3 districts on a lot larger than </w:t>
      </w:r>
      <w:proofErr w:type="gramStart"/>
      <w:r>
        <w:t>thirty-thousand</w:t>
      </w:r>
      <w:proofErr w:type="gramEnd"/>
      <w:r>
        <w:t xml:space="preserve"> (30,000) square feet. The City Council is the decision</w:t>
      </w:r>
      <w:r>
        <w:t>-making authority for all development that requires a Special Permit.</w:t>
      </w:r>
    </w:p>
    <w:p w14:paraId="6114B9C6" w14:textId="77777777" w:rsidR="0044292D" w:rsidRDefault="0057687C">
      <w:pPr>
        <w:numPr>
          <w:ilvl w:val="1"/>
          <w:numId w:val="4"/>
        </w:numPr>
      </w:pPr>
      <w:r>
        <w:t xml:space="preserve">Site Plan Review Required. Site Plan Review is required for any development in the Village Center 1, 2, and 3 districts on a lot larger than </w:t>
      </w:r>
      <w:proofErr w:type="gramStart"/>
      <w:r>
        <w:t>twenty-thousand</w:t>
      </w:r>
      <w:proofErr w:type="gramEnd"/>
      <w:r>
        <w:t xml:space="preserve"> (20,000) square feet but less</w:t>
      </w:r>
      <w:r>
        <w:t xml:space="preserve"> than thirty-thousand (30,000) square feet. The Planning Board is the decision-making authority for all development that requires Site Plan Review.</w:t>
      </w:r>
      <w:r>
        <w:br/>
      </w:r>
    </w:p>
    <w:p w14:paraId="7327BBF7" w14:textId="77777777" w:rsidR="0044292D" w:rsidRDefault="0057687C">
      <w:pPr>
        <w:numPr>
          <w:ilvl w:val="1"/>
          <w:numId w:val="7"/>
        </w:numPr>
      </w:pPr>
      <w:r>
        <w:t>Dimensional Standards</w:t>
      </w:r>
      <w:r>
        <w:rPr>
          <w:vertAlign w:val="superscript"/>
        </w:rPr>
        <w:footnoteReference w:id="4"/>
      </w:r>
      <w:r>
        <w:br/>
      </w:r>
    </w:p>
    <w:p w14:paraId="5662E72B" w14:textId="77777777" w:rsidR="0044292D" w:rsidRDefault="0044292D"/>
    <w:p w14:paraId="2B4B40F4" w14:textId="77777777" w:rsidR="0044292D" w:rsidRDefault="0044292D"/>
    <w:p w14:paraId="01078C70" w14:textId="77777777" w:rsidR="0044292D" w:rsidRDefault="0044292D"/>
    <w:p w14:paraId="19A35638" w14:textId="77777777" w:rsidR="0044292D" w:rsidRDefault="0044292D"/>
    <w:p w14:paraId="2A2F584C" w14:textId="77777777" w:rsidR="0044292D" w:rsidRDefault="0044292D"/>
    <w:p w14:paraId="755B1231" w14:textId="77777777" w:rsidR="0044292D" w:rsidRDefault="0044292D"/>
    <w:p w14:paraId="41D5DB4C" w14:textId="77777777" w:rsidR="0044292D" w:rsidRDefault="0044292D"/>
    <w:p w14:paraId="444ACDA6" w14:textId="77777777" w:rsidR="0044292D" w:rsidRDefault="0044292D"/>
    <w:p w14:paraId="04C02762" w14:textId="77777777" w:rsidR="0044292D" w:rsidRDefault="0044292D"/>
    <w:p w14:paraId="5AB3986B" w14:textId="77777777" w:rsidR="0044292D" w:rsidRDefault="0044292D"/>
    <w:p w14:paraId="36EB1517" w14:textId="77777777" w:rsidR="0044292D" w:rsidRDefault="0044292D"/>
    <w:p w14:paraId="5EAAFE59" w14:textId="77777777" w:rsidR="0044292D" w:rsidRDefault="0044292D"/>
    <w:p w14:paraId="60EC914B" w14:textId="77777777" w:rsidR="0044292D" w:rsidRDefault="0057687C">
      <w:pPr>
        <w:numPr>
          <w:ilvl w:val="0"/>
          <w:numId w:val="5"/>
        </w:numPr>
      </w:pPr>
      <w:r>
        <w:lastRenderedPageBreak/>
        <w:t>Lot Standards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1390"/>
        <w:gridCol w:w="2295"/>
        <w:gridCol w:w="2175"/>
      </w:tblGrid>
      <w:tr w:rsidR="0044292D" w14:paraId="0BD991A3" w14:textId="77777777" w:rsidTr="00777639">
        <w:trPr>
          <w:trHeight w:val="20"/>
          <w:tblHeader/>
        </w:trPr>
        <w:tc>
          <w:tcPr>
            <w:tcW w:w="3500" w:type="dxa"/>
            <w:shd w:val="clear" w:color="auto" w:fill="6FA8DC"/>
            <w:tcMar>
              <w:top w:w="100" w:type="dxa"/>
              <w:left w:w="100" w:type="dxa"/>
              <w:bottom w:w="100" w:type="dxa"/>
              <w:right w:w="100" w:type="dxa"/>
            </w:tcMar>
          </w:tcPr>
          <w:p w14:paraId="6E8ED8D6" w14:textId="77777777" w:rsidR="0044292D" w:rsidRDefault="0057687C">
            <w:pPr>
              <w:widowControl w:val="0"/>
              <w:spacing w:line="240" w:lineRule="auto"/>
              <w:rPr>
                <w:b/>
                <w:sz w:val="20"/>
                <w:szCs w:val="20"/>
              </w:rPr>
            </w:pPr>
            <w:r>
              <w:rPr>
                <w:b/>
                <w:sz w:val="20"/>
                <w:szCs w:val="20"/>
              </w:rPr>
              <w:t>VCOD</w:t>
            </w:r>
          </w:p>
        </w:tc>
        <w:tc>
          <w:tcPr>
            <w:tcW w:w="1390" w:type="dxa"/>
            <w:shd w:val="clear" w:color="auto" w:fill="6FA8DC"/>
            <w:tcMar>
              <w:top w:w="100" w:type="dxa"/>
              <w:left w:w="100" w:type="dxa"/>
              <w:bottom w:w="100" w:type="dxa"/>
              <w:right w:w="100" w:type="dxa"/>
            </w:tcMar>
          </w:tcPr>
          <w:p w14:paraId="79218DD6" w14:textId="77777777" w:rsidR="0044292D" w:rsidRDefault="0057687C">
            <w:pPr>
              <w:widowControl w:val="0"/>
              <w:spacing w:line="240" w:lineRule="auto"/>
              <w:jc w:val="center"/>
              <w:rPr>
                <w:b/>
                <w:sz w:val="20"/>
                <w:szCs w:val="20"/>
              </w:rPr>
            </w:pPr>
            <w:r>
              <w:rPr>
                <w:b/>
                <w:sz w:val="20"/>
                <w:szCs w:val="20"/>
              </w:rPr>
              <w:t>VC1</w:t>
            </w:r>
          </w:p>
        </w:tc>
        <w:tc>
          <w:tcPr>
            <w:tcW w:w="2295" w:type="dxa"/>
            <w:shd w:val="clear" w:color="auto" w:fill="6FA8DC"/>
            <w:tcMar>
              <w:top w:w="100" w:type="dxa"/>
              <w:left w:w="100" w:type="dxa"/>
              <w:bottom w:w="100" w:type="dxa"/>
              <w:right w:w="100" w:type="dxa"/>
            </w:tcMar>
          </w:tcPr>
          <w:p w14:paraId="174B53F0" w14:textId="77777777" w:rsidR="0044292D" w:rsidRDefault="0057687C">
            <w:pPr>
              <w:widowControl w:val="0"/>
              <w:pBdr>
                <w:top w:val="nil"/>
                <w:left w:val="nil"/>
                <w:bottom w:val="nil"/>
                <w:right w:val="nil"/>
                <w:between w:val="nil"/>
              </w:pBdr>
              <w:spacing w:line="240" w:lineRule="auto"/>
              <w:jc w:val="center"/>
              <w:rPr>
                <w:b/>
                <w:sz w:val="20"/>
                <w:szCs w:val="20"/>
              </w:rPr>
            </w:pPr>
            <w:r>
              <w:rPr>
                <w:b/>
                <w:sz w:val="20"/>
                <w:szCs w:val="20"/>
              </w:rPr>
              <w:t>VC2</w:t>
            </w:r>
          </w:p>
        </w:tc>
        <w:tc>
          <w:tcPr>
            <w:tcW w:w="2175" w:type="dxa"/>
            <w:shd w:val="clear" w:color="auto" w:fill="6FA8DC"/>
            <w:tcMar>
              <w:top w:w="100" w:type="dxa"/>
              <w:left w:w="100" w:type="dxa"/>
              <w:bottom w:w="100" w:type="dxa"/>
              <w:right w:w="100" w:type="dxa"/>
            </w:tcMar>
          </w:tcPr>
          <w:p w14:paraId="3FDFE824" w14:textId="77777777" w:rsidR="0044292D" w:rsidRDefault="0057687C">
            <w:pPr>
              <w:widowControl w:val="0"/>
              <w:pBdr>
                <w:top w:val="nil"/>
                <w:left w:val="nil"/>
                <w:bottom w:val="nil"/>
                <w:right w:val="nil"/>
                <w:between w:val="nil"/>
              </w:pBdr>
              <w:spacing w:line="240" w:lineRule="auto"/>
              <w:jc w:val="center"/>
              <w:rPr>
                <w:b/>
                <w:sz w:val="20"/>
                <w:szCs w:val="20"/>
              </w:rPr>
            </w:pPr>
            <w:r>
              <w:rPr>
                <w:b/>
                <w:sz w:val="20"/>
                <w:szCs w:val="20"/>
              </w:rPr>
              <w:t>VC3</w:t>
            </w:r>
          </w:p>
        </w:tc>
      </w:tr>
      <w:tr w:rsidR="0044292D" w14:paraId="15E520C1" w14:textId="77777777" w:rsidTr="00777639">
        <w:trPr>
          <w:trHeight w:val="20"/>
        </w:trPr>
        <w:tc>
          <w:tcPr>
            <w:tcW w:w="9360" w:type="dxa"/>
            <w:gridSpan w:val="4"/>
            <w:shd w:val="clear" w:color="auto" w:fill="434343"/>
            <w:tcMar>
              <w:top w:w="100" w:type="dxa"/>
              <w:left w:w="100" w:type="dxa"/>
              <w:bottom w:w="100" w:type="dxa"/>
              <w:right w:w="100" w:type="dxa"/>
            </w:tcMar>
          </w:tcPr>
          <w:p w14:paraId="34B4C48D" w14:textId="77777777" w:rsidR="0044292D" w:rsidRDefault="0057687C">
            <w:pPr>
              <w:widowControl w:val="0"/>
              <w:pBdr>
                <w:top w:val="nil"/>
                <w:left w:val="nil"/>
                <w:bottom w:val="nil"/>
                <w:right w:val="nil"/>
                <w:between w:val="nil"/>
              </w:pBdr>
              <w:spacing w:line="240" w:lineRule="auto"/>
              <w:rPr>
                <w:b/>
                <w:color w:val="FFFFFF"/>
                <w:sz w:val="20"/>
                <w:szCs w:val="20"/>
              </w:rPr>
            </w:pPr>
            <w:r>
              <w:rPr>
                <w:b/>
                <w:color w:val="FFFFFF"/>
                <w:sz w:val="20"/>
                <w:szCs w:val="20"/>
              </w:rPr>
              <w:t>Building Massing</w:t>
            </w:r>
          </w:p>
        </w:tc>
      </w:tr>
      <w:tr w:rsidR="0044292D" w14:paraId="60EC4F51" w14:textId="77777777" w:rsidTr="00777639">
        <w:trPr>
          <w:trHeight w:val="20"/>
        </w:trPr>
        <w:tc>
          <w:tcPr>
            <w:tcW w:w="9360" w:type="dxa"/>
            <w:gridSpan w:val="4"/>
            <w:shd w:val="clear" w:color="auto" w:fill="auto"/>
            <w:tcMar>
              <w:top w:w="100" w:type="dxa"/>
              <w:left w:w="100" w:type="dxa"/>
              <w:bottom w:w="100" w:type="dxa"/>
              <w:right w:w="100" w:type="dxa"/>
            </w:tcMar>
          </w:tcPr>
          <w:p w14:paraId="12264330" w14:textId="77777777" w:rsidR="0044292D" w:rsidRDefault="0057687C">
            <w:pPr>
              <w:widowControl w:val="0"/>
              <w:pBdr>
                <w:top w:val="nil"/>
                <w:left w:val="nil"/>
                <w:bottom w:val="nil"/>
                <w:right w:val="nil"/>
                <w:between w:val="nil"/>
              </w:pBdr>
              <w:spacing w:line="240" w:lineRule="auto"/>
              <w:rPr>
                <w:b/>
                <w:sz w:val="20"/>
                <w:szCs w:val="20"/>
              </w:rPr>
            </w:pPr>
            <w:r>
              <w:rPr>
                <w:b/>
                <w:sz w:val="20"/>
                <w:szCs w:val="20"/>
                <w:highlight w:val="white"/>
              </w:rPr>
              <w:t>Lot Size (By-Right / Special Permit)</w:t>
            </w:r>
          </w:p>
        </w:tc>
      </w:tr>
      <w:tr w:rsidR="0044292D" w14:paraId="79AC5BAF" w14:textId="77777777" w:rsidTr="00777639">
        <w:trPr>
          <w:trHeight w:val="20"/>
        </w:trPr>
        <w:tc>
          <w:tcPr>
            <w:tcW w:w="3500" w:type="dxa"/>
            <w:shd w:val="clear" w:color="auto" w:fill="auto"/>
            <w:tcMar>
              <w:top w:w="100" w:type="dxa"/>
              <w:left w:w="100" w:type="dxa"/>
              <w:bottom w:w="100" w:type="dxa"/>
              <w:right w:w="100" w:type="dxa"/>
            </w:tcMar>
          </w:tcPr>
          <w:p w14:paraId="64ABD02F" w14:textId="77777777" w:rsidR="0044292D" w:rsidRDefault="0057687C">
            <w:pPr>
              <w:widowControl w:val="0"/>
              <w:pBdr>
                <w:top w:val="nil"/>
                <w:left w:val="nil"/>
                <w:bottom w:val="nil"/>
                <w:right w:val="nil"/>
                <w:between w:val="nil"/>
              </w:pBdr>
              <w:spacing w:line="240" w:lineRule="auto"/>
              <w:rPr>
                <w:sz w:val="18"/>
                <w:szCs w:val="18"/>
              </w:rPr>
            </w:pPr>
            <w:r>
              <w:rPr>
                <w:sz w:val="18"/>
                <w:szCs w:val="18"/>
              </w:rPr>
              <w:t>–</w:t>
            </w:r>
          </w:p>
        </w:tc>
        <w:tc>
          <w:tcPr>
            <w:tcW w:w="5860" w:type="dxa"/>
            <w:gridSpan w:val="3"/>
            <w:shd w:val="clear" w:color="auto" w:fill="auto"/>
            <w:tcMar>
              <w:top w:w="100" w:type="dxa"/>
              <w:left w:w="100" w:type="dxa"/>
              <w:bottom w:w="100" w:type="dxa"/>
              <w:right w:w="100" w:type="dxa"/>
            </w:tcMar>
          </w:tcPr>
          <w:p w14:paraId="2E5E7B49"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highlight w:val="white"/>
              </w:rPr>
              <w:t xml:space="preserve">Less than 30,000 </w:t>
            </w:r>
            <w:proofErr w:type="gramStart"/>
            <w:r>
              <w:rPr>
                <w:sz w:val="18"/>
                <w:szCs w:val="18"/>
                <w:highlight w:val="white"/>
              </w:rPr>
              <w:t>sf  /</w:t>
            </w:r>
            <w:proofErr w:type="gramEnd"/>
            <w:r>
              <w:rPr>
                <w:sz w:val="18"/>
                <w:szCs w:val="18"/>
                <w:highlight w:val="white"/>
              </w:rPr>
              <w:t xml:space="preserve"> Greater than or equal to 30,000 sf</w:t>
            </w:r>
          </w:p>
        </w:tc>
      </w:tr>
      <w:tr w:rsidR="0044292D" w14:paraId="7690F58D" w14:textId="77777777" w:rsidTr="00777639">
        <w:trPr>
          <w:trHeight w:val="20"/>
        </w:trPr>
        <w:tc>
          <w:tcPr>
            <w:tcW w:w="9360" w:type="dxa"/>
            <w:gridSpan w:val="4"/>
            <w:shd w:val="clear" w:color="auto" w:fill="auto"/>
            <w:tcMar>
              <w:top w:w="100" w:type="dxa"/>
              <w:left w:w="100" w:type="dxa"/>
              <w:bottom w:w="100" w:type="dxa"/>
              <w:right w:w="100" w:type="dxa"/>
            </w:tcMar>
          </w:tcPr>
          <w:p w14:paraId="6446434E" w14:textId="77777777" w:rsidR="0044292D" w:rsidRDefault="0057687C">
            <w:pPr>
              <w:widowControl w:val="0"/>
              <w:pBdr>
                <w:top w:val="nil"/>
                <w:left w:val="nil"/>
                <w:bottom w:val="nil"/>
                <w:right w:val="nil"/>
                <w:between w:val="nil"/>
              </w:pBdr>
              <w:spacing w:line="240" w:lineRule="auto"/>
              <w:rPr>
                <w:b/>
                <w:sz w:val="20"/>
                <w:szCs w:val="20"/>
              </w:rPr>
            </w:pPr>
            <w:r>
              <w:rPr>
                <w:b/>
                <w:sz w:val="20"/>
                <w:szCs w:val="20"/>
                <w:highlight w:val="white"/>
              </w:rPr>
              <w:t>Usable Open Space (lots greater than 30,000 sf)</w:t>
            </w:r>
          </w:p>
        </w:tc>
      </w:tr>
      <w:tr w:rsidR="0044292D" w14:paraId="73B4EE5C" w14:textId="77777777" w:rsidTr="00777639">
        <w:trPr>
          <w:trHeight w:val="20"/>
        </w:trPr>
        <w:tc>
          <w:tcPr>
            <w:tcW w:w="3500" w:type="dxa"/>
            <w:shd w:val="clear" w:color="auto" w:fill="auto"/>
            <w:tcMar>
              <w:top w:w="100" w:type="dxa"/>
              <w:left w:w="100" w:type="dxa"/>
              <w:bottom w:w="100" w:type="dxa"/>
              <w:right w:w="100" w:type="dxa"/>
            </w:tcMar>
          </w:tcPr>
          <w:p w14:paraId="322929D8" w14:textId="77777777" w:rsidR="0044292D" w:rsidRDefault="0057687C">
            <w:pPr>
              <w:widowControl w:val="0"/>
              <w:pBdr>
                <w:top w:val="nil"/>
                <w:left w:val="nil"/>
                <w:bottom w:val="nil"/>
                <w:right w:val="nil"/>
                <w:between w:val="nil"/>
              </w:pBdr>
              <w:spacing w:line="240" w:lineRule="auto"/>
              <w:rPr>
                <w:sz w:val="18"/>
                <w:szCs w:val="18"/>
              </w:rPr>
            </w:pPr>
            <w:r>
              <w:rPr>
                <w:sz w:val="18"/>
                <w:szCs w:val="18"/>
              </w:rPr>
              <w:t>–</w:t>
            </w:r>
          </w:p>
        </w:tc>
        <w:tc>
          <w:tcPr>
            <w:tcW w:w="1390" w:type="dxa"/>
            <w:shd w:val="clear" w:color="auto" w:fill="auto"/>
            <w:tcMar>
              <w:top w:w="100" w:type="dxa"/>
              <w:left w:w="100" w:type="dxa"/>
              <w:bottom w:w="100" w:type="dxa"/>
              <w:right w:w="100" w:type="dxa"/>
            </w:tcMar>
          </w:tcPr>
          <w:p w14:paraId="7037149D" w14:textId="77777777" w:rsidR="0044292D" w:rsidRDefault="0057687C">
            <w:pPr>
              <w:widowControl w:val="0"/>
              <w:spacing w:line="240" w:lineRule="auto"/>
              <w:jc w:val="center"/>
              <w:rPr>
                <w:sz w:val="18"/>
                <w:szCs w:val="18"/>
              </w:rPr>
            </w:pPr>
            <w:r>
              <w:rPr>
                <w:sz w:val="18"/>
                <w:szCs w:val="18"/>
              </w:rPr>
              <w:t>30%</w:t>
            </w:r>
          </w:p>
        </w:tc>
        <w:tc>
          <w:tcPr>
            <w:tcW w:w="2295" w:type="dxa"/>
            <w:shd w:val="clear" w:color="auto" w:fill="auto"/>
            <w:tcMar>
              <w:top w:w="100" w:type="dxa"/>
              <w:left w:w="100" w:type="dxa"/>
              <w:bottom w:w="100" w:type="dxa"/>
              <w:right w:w="100" w:type="dxa"/>
            </w:tcMar>
          </w:tcPr>
          <w:p w14:paraId="0C1EC060"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5%</w:t>
            </w:r>
          </w:p>
        </w:tc>
        <w:tc>
          <w:tcPr>
            <w:tcW w:w="2175" w:type="dxa"/>
            <w:shd w:val="clear" w:color="auto" w:fill="auto"/>
            <w:tcMar>
              <w:top w:w="100" w:type="dxa"/>
              <w:left w:w="100" w:type="dxa"/>
              <w:bottom w:w="100" w:type="dxa"/>
              <w:right w:w="100" w:type="dxa"/>
            </w:tcMar>
          </w:tcPr>
          <w:p w14:paraId="12C6E7BD" w14:textId="77777777" w:rsidR="0044292D" w:rsidRDefault="0057687C">
            <w:pPr>
              <w:widowControl w:val="0"/>
              <w:spacing w:line="240" w:lineRule="auto"/>
              <w:jc w:val="center"/>
              <w:rPr>
                <w:sz w:val="18"/>
                <w:szCs w:val="18"/>
              </w:rPr>
            </w:pPr>
            <w:r>
              <w:rPr>
                <w:sz w:val="18"/>
                <w:szCs w:val="18"/>
              </w:rPr>
              <w:t>5%</w:t>
            </w:r>
          </w:p>
        </w:tc>
      </w:tr>
      <w:tr w:rsidR="0044292D" w14:paraId="6CDC6A79" w14:textId="77777777" w:rsidTr="00777639">
        <w:trPr>
          <w:trHeight w:val="20"/>
        </w:trPr>
        <w:tc>
          <w:tcPr>
            <w:tcW w:w="9360" w:type="dxa"/>
            <w:gridSpan w:val="4"/>
            <w:shd w:val="clear" w:color="auto" w:fill="auto"/>
            <w:tcMar>
              <w:top w:w="100" w:type="dxa"/>
              <w:left w:w="100" w:type="dxa"/>
              <w:bottom w:w="100" w:type="dxa"/>
              <w:right w:w="100" w:type="dxa"/>
            </w:tcMar>
          </w:tcPr>
          <w:p w14:paraId="7F29422B" w14:textId="77777777" w:rsidR="0044292D" w:rsidRDefault="0057687C">
            <w:pPr>
              <w:widowControl w:val="0"/>
              <w:pBdr>
                <w:top w:val="nil"/>
                <w:left w:val="nil"/>
                <w:bottom w:val="nil"/>
                <w:right w:val="nil"/>
                <w:between w:val="nil"/>
              </w:pBdr>
              <w:spacing w:line="240" w:lineRule="auto"/>
              <w:rPr>
                <w:b/>
                <w:sz w:val="20"/>
                <w:szCs w:val="20"/>
              </w:rPr>
            </w:pPr>
            <w:r>
              <w:rPr>
                <w:b/>
                <w:sz w:val="20"/>
                <w:szCs w:val="20"/>
              </w:rPr>
              <w:t>Site Plan Review</w:t>
            </w:r>
          </w:p>
        </w:tc>
      </w:tr>
      <w:tr w:rsidR="0044292D" w14:paraId="208CD4D6" w14:textId="77777777" w:rsidTr="00777639">
        <w:trPr>
          <w:trHeight w:val="20"/>
        </w:trPr>
        <w:tc>
          <w:tcPr>
            <w:tcW w:w="3500" w:type="dxa"/>
            <w:shd w:val="clear" w:color="auto" w:fill="auto"/>
            <w:tcMar>
              <w:top w:w="100" w:type="dxa"/>
              <w:left w:w="100" w:type="dxa"/>
              <w:bottom w:w="100" w:type="dxa"/>
              <w:right w:w="100" w:type="dxa"/>
            </w:tcMar>
          </w:tcPr>
          <w:p w14:paraId="5EED91BA" w14:textId="77777777" w:rsidR="0044292D" w:rsidRDefault="0057687C">
            <w:pPr>
              <w:widowControl w:val="0"/>
              <w:pBdr>
                <w:top w:val="nil"/>
                <w:left w:val="nil"/>
                <w:bottom w:val="nil"/>
                <w:right w:val="nil"/>
                <w:between w:val="nil"/>
              </w:pBdr>
              <w:spacing w:line="240" w:lineRule="auto"/>
              <w:rPr>
                <w:sz w:val="18"/>
                <w:szCs w:val="18"/>
              </w:rPr>
            </w:pPr>
            <w:r>
              <w:rPr>
                <w:sz w:val="18"/>
                <w:szCs w:val="18"/>
              </w:rPr>
              <w:t>Lot Size</w:t>
            </w:r>
          </w:p>
        </w:tc>
        <w:tc>
          <w:tcPr>
            <w:tcW w:w="5860" w:type="dxa"/>
            <w:gridSpan w:val="3"/>
            <w:shd w:val="clear" w:color="auto" w:fill="auto"/>
            <w:tcMar>
              <w:top w:w="100" w:type="dxa"/>
              <w:left w:w="100" w:type="dxa"/>
              <w:bottom w:w="100" w:type="dxa"/>
              <w:right w:w="100" w:type="dxa"/>
            </w:tcMar>
          </w:tcPr>
          <w:p w14:paraId="5AFC6A74"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highlight w:val="white"/>
              </w:rPr>
              <w:t>Greater than or equal to 20,000 sf but less than 30,000 sf</w:t>
            </w:r>
          </w:p>
        </w:tc>
      </w:tr>
      <w:tr w:rsidR="0044292D" w14:paraId="53C12E99" w14:textId="77777777" w:rsidTr="00777639">
        <w:trPr>
          <w:trHeight w:val="20"/>
        </w:trPr>
        <w:tc>
          <w:tcPr>
            <w:tcW w:w="9360" w:type="dxa"/>
            <w:gridSpan w:val="4"/>
            <w:shd w:val="clear" w:color="auto" w:fill="434343"/>
            <w:tcMar>
              <w:top w:w="100" w:type="dxa"/>
              <w:left w:w="100" w:type="dxa"/>
              <w:bottom w:w="100" w:type="dxa"/>
              <w:right w:w="100" w:type="dxa"/>
            </w:tcMar>
          </w:tcPr>
          <w:p w14:paraId="55CDD069" w14:textId="77777777" w:rsidR="0044292D" w:rsidRDefault="0057687C">
            <w:pPr>
              <w:widowControl w:val="0"/>
              <w:spacing w:line="240" w:lineRule="auto"/>
              <w:rPr>
                <w:b/>
                <w:color w:val="FFFFFF"/>
                <w:sz w:val="20"/>
                <w:szCs w:val="20"/>
              </w:rPr>
            </w:pPr>
            <w:r>
              <w:rPr>
                <w:b/>
                <w:color w:val="FFFFFF"/>
                <w:sz w:val="20"/>
                <w:szCs w:val="20"/>
              </w:rPr>
              <w:t>Building Setbacks</w:t>
            </w:r>
          </w:p>
        </w:tc>
      </w:tr>
      <w:tr w:rsidR="0044292D" w14:paraId="7E2BFD28" w14:textId="77777777" w:rsidTr="00777639">
        <w:trPr>
          <w:trHeight w:val="20"/>
        </w:trPr>
        <w:tc>
          <w:tcPr>
            <w:tcW w:w="9360" w:type="dxa"/>
            <w:gridSpan w:val="4"/>
            <w:shd w:val="clear" w:color="auto" w:fill="auto"/>
            <w:tcMar>
              <w:top w:w="100" w:type="dxa"/>
              <w:left w:w="100" w:type="dxa"/>
              <w:bottom w:w="100" w:type="dxa"/>
              <w:right w:w="100" w:type="dxa"/>
            </w:tcMar>
          </w:tcPr>
          <w:p w14:paraId="35259759" w14:textId="77777777" w:rsidR="0044292D" w:rsidRDefault="0057687C">
            <w:pPr>
              <w:widowControl w:val="0"/>
              <w:pBdr>
                <w:top w:val="nil"/>
                <w:left w:val="nil"/>
                <w:bottom w:val="nil"/>
                <w:right w:val="nil"/>
                <w:between w:val="nil"/>
              </w:pBdr>
              <w:spacing w:line="240" w:lineRule="auto"/>
              <w:rPr>
                <w:b/>
                <w:sz w:val="20"/>
                <w:szCs w:val="20"/>
              </w:rPr>
            </w:pPr>
            <w:r>
              <w:rPr>
                <w:b/>
                <w:sz w:val="20"/>
                <w:szCs w:val="20"/>
              </w:rPr>
              <w:t>Front (min. / max.)</w:t>
            </w:r>
          </w:p>
        </w:tc>
      </w:tr>
      <w:tr w:rsidR="0044292D" w14:paraId="571E7754" w14:textId="77777777" w:rsidTr="00777639">
        <w:trPr>
          <w:trHeight w:val="20"/>
        </w:trPr>
        <w:tc>
          <w:tcPr>
            <w:tcW w:w="3500" w:type="dxa"/>
            <w:shd w:val="clear" w:color="auto" w:fill="auto"/>
            <w:tcMar>
              <w:top w:w="100" w:type="dxa"/>
              <w:left w:w="100" w:type="dxa"/>
              <w:bottom w:w="100" w:type="dxa"/>
              <w:right w:w="100" w:type="dxa"/>
            </w:tcMar>
          </w:tcPr>
          <w:p w14:paraId="789BE0D6" w14:textId="77777777" w:rsidR="0044292D" w:rsidRDefault="0057687C">
            <w:pPr>
              <w:widowControl w:val="0"/>
              <w:pBdr>
                <w:top w:val="nil"/>
                <w:left w:val="nil"/>
                <w:bottom w:val="nil"/>
                <w:right w:val="nil"/>
                <w:between w:val="nil"/>
              </w:pBdr>
              <w:spacing w:line="240" w:lineRule="auto"/>
              <w:rPr>
                <w:sz w:val="18"/>
                <w:szCs w:val="18"/>
              </w:rPr>
            </w:pPr>
            <w:r>
              <w:rPr>
                <w:sz w:val="18"/>
                <w:szCs w:val="18"/>
              </w:rPr>
              <w:t>–</w:t>
            </w:r>
          </w:p>
        </w:tc>
        <w:tc>
          <w:tcPr>
            <w:tcW w:w="1390" w:type="dxa"/>
            <w:shd w:val="clear" w:color="auto" w:fill="auto"/>
            <w:tcMar>
              <w:top w:w="100" w:type="dxa"/>
              <w:left w:w="100" w:type="dxa"/>
              <w:bottom w:w="100" w:type="dxa"/>
              <w:right w:w="100" w:type="dxa"/>
            </w:tcMar>
          </w:tcPr>
          <w:p w14:paraId="0F0D74F2"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10’ / 20’ or Average</w:t>
            </w:r>
          </w:p>
        </w:tc>
        <w:tc>
          <w:tcPr>
            <w:tcW w:w="2295" w:type="dxa"/>
            <w:shd w:val="clear" w:color="auto" w:fill="auto"/>
            <w:tcMar>
              <w:top w:w="100" w:type="dxa"/>
              <w:left w:w="100" w:type="dxa"/>
              <w:bottom w:w="100" w:type="dxa"/>
              <w:right w:w="100" w:type="dxa"/>
            </w:tcMar>
          </w:tcPr>
          <w:p w14:paraId="124C1D7E"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0’ / 15’ or Average</w:t>
            </w:r>
          </w:p>
        </w:tc>
        <w:tc>
          <w:tcPr>
            <w:tcW w:w="2175" w:type="dxa"/>
            <w:shd w:val="clear" w:color="auto" w:fill="auto"/>
            <w:tcMar>
              <w:top w:w="100" w:type="dxa"/>
              <w:left w:w="100" w:type="dxa"/>
              <w:bottom w:w="100" w:type="dxa"/>
              <w:right w:w="100" w:type="dxa"/>
            </w:tcMar>
          </w:tcPr>
          <w:p w14:paraId="0D141962"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0’ / 10’</w:t>
            </w:r>
          </w:p>
        </w:tc>
      </w:tr>
      <w:tr w:rsidR="0044292D" w14:paraId="679375AB" w14:textId="77777777" w:rsidTr="00777639">
        <w:trPr>
          <w:trHeight w:val="20"/>
        </w:trPr>
        <w:tc>
          <w:tcPr>
            <w:tcW w:w="9360" w:type="dxa"/>
            <w:gridSpan w:val="4"/>
            <w:shd w:val="clear" w:color="auto" w:fill="auto"/>
            <w:tcMar>
              <w:top w:w="100" w:type="dxa"/>
              <w:left w:w="100" w:type="dxa"/>
              <w:bottom w:w="100" w:type="dxa"/>
              <w:right w:w="100" w:type="dxa"/>
            </w:tcMar>
          </w:tcPr>
          <w:p w14:paraId="46D4AA3B" w14:textId="77777777" w:rsidR="0044292D" w:rsidRDefault="0057687C">
            <w:pPr>
              <w:widowControl w:val="0"/>
              <w:spacing w:line="240" w:lineRule="auto"/>
              <w:rPr>
                <w:b/>
                <w:sz w:val="20"/>
                <w:szCs w:val="20"/>
              </w:rPr>
            </w:pPr>
            <w:r>
              <w:rPr>
                <w:b/>
                <w:sz w:val="20"/>
                <w:szCs w:val="20"/>
              </w:rPr>
              <w:t>Side (min.)</w:t>
            </w:r>
          </w:p>
        </w:tc>
      </w:tr>
      <w:tr w:rsidR="0044292D" w14:paraId="42593275" w14:textId="77777777" w:rsidTr="00777639">
        <w:trPr>
          <w:trHeight w:val="20"/>
        </w:trPr>
        <w:tc>
          <w:tcPr>
            <w:tcW w:w="3500" w:type="dxa"/>
            <w:shd w:val="clear" w:color="auto" w:fill="auto"/>
            <w:tcMar>
              <w:top w:w="100" w:type="dxa"/>
              <w:left w:w="100" w:type="dxa"/>
              <w:bottom w:w="100" w:type="dxa"/>
              <w:right w:w="100" w:type="dxa"/>
            </w:tcMar>
          </w:tcPr>
          <w:p w14:paraId="1F1611F7" w14:textId="77777777" w:rsidR="0044292D" w:rsidRDefault="0057687C">
            <w:pPr>
              <w:widowControl w:val="0"/>
              <w:pBdr>
                <w:top w:val="nil"/>
                <w:left w:val="nil"/>
                <w:bottom w:val="nil"/>
                <w:right w:val="nil"/>
                <w:between w:val="nil"/>
              </w:pBdr>
              <w:spacing w:line="240" w:lineRule="auto"/>
              <w:rPr>
                <w:sz w:val="18"/>
                <w:szCs w:val="18"/>
              </w:rPr>
            </w:pPr>
            <w:r>
              <w:rPr>
                <w:sz w:val="18"/>
                <w:szCs w:val="18"/>
              </w:rPr>
              <w:t xml:space="preserve">Abutting a Party Wall in a non-R District </w:t>
            </w:r>
          </w:p>
        </w:tc>
        <w:tc>
          <w:tcPr>
            <w:tcW w:w="5860" w:type="dxa"/>
            <w:gridSpan w:val="3"/>
            <w:shd w:val="clear" w:color="auto" w:fill="auto"/>
            <w:tcMar>
              <w:top w:w="100" w:type="dxa"/>
              <w:left w:w="100" w:type="dxa"/>
              <w:bottom w:w="100" w:type="dxa"/>
              <w:right w:w="100" w:type="dxa"/>
            </w:tcMar>
          </w:tcPr>
          <w:p w14:paraId="2CBBF956"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0’</w:t>
            </w:r>
          </w:p>
        </w:tc>
      </w:tr>
      <w:tr w:rsidR="0044292D" w14:paraId="7088E0C2" w14:textId="77777777" w:rsidTr="00777639">
        <w:trPr>
          <w:trHeight w:val="20"/>
        </w:trPr>
        <w:tc>
          <w:tcPr>
            <w:tcW w:w="3500" w:type="dxa"/>
            <w:shd w:val="clear" w:color="auto" w:fill="auto"/>
            <w:tcMar>
              <w:top w:w="100" w:type="dxa"/>
              <w:left w:w="100" w:type="dxa"/>
              <w:bottom w:w="100" w:type="dxa"/>
              <w:right w:w="100" w:type="dxa"/>
            </w:tcMar>
          </w:tcPr>
          <w:p w14:paraId="72F180A7" w14:textId="77777777" w:rsidR="0044292D" w:rsidRDefault="0057687C">
            <w:pPr>
              <w:widowControl w:val="0"/>
              <w:pBdr>
                <w:top w:val="nil"/>
                <w:left w:val="nil"/>
                <w:bottom w:val="nil"/>
                <w:right w:val="nil"/>
                <w:between w:val="nil"/>
              </w:pBdr>
              <w:spacing w:line="240" w:lineRule="auto"/>
              <w:rPr>
                <w:sz w:val="18"/>
                <w:szCs w:val="18"/>
              </w:rPr>
            </w:pPr>
            <w:r>
              <w:rPr>
                <w:sz w:val="18"/>
                <w:szCs w:val="18"/>
              </w:rPr>
              <w:t xml:space="preserve">Abutting a building without a Party Wall in non-R District </w:t>
            </w:r>
          </w:p>
        </w:tc>
        <w:tc>
          <w:tcPr>
            <w:tcW w:w="1390" w:type="dxa"/>
            <w:shd w:val="clear" w:color="auto" w:fill="auto"/>
            <w:tcMar>
              <w:top w:w="100" w:type="dxa"/>
              <w:left w:w="100" w:type="dxa"/>
              <w:bottom w:w="100" w:type="dxa"/>
              <w:right w:w="100" w:type="dxa"/>
            </w:tcMar>
          </w:tcPr>
          <w:p w14:paraId="35E171D1"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10’</w:t>
            </w:r>
          </w:p>
        </w:tc>
        <w:tc>
          <w:tcPr>
            <w:tcW w:w="2295" w:type="dxa"/>
            <w:shd w:val="clear" w:color="auto" w:fill="auto"/>
            <w:tcMar>
              <w:top w:w="100" w:type="dxa"/>
              <w:left w:w="100" w:type="dxa"/>
              <w:bottom w:w="100" w:type="dxa"/>
              <w:right w:w="100" w:type="dxa"/>
            </w:tcMar>
          </w:tcPr>
          <w:p w14:paraId="24D82F2D" w14:textId="77777777" w:rsidR="0044292D" w:rsidRDefault="0057687C">
            <w:pPr>
              <w:widowControl w:val="0"/>
              <w:spacing w:line="240" w:lineRule="auto"/>
              <w:jc w:val="center"/>
              <w:rPr>
                <w:sz w:val="18"/>
                <w:szCs w:val="18"/>
              </w:rPr>
            </w:pPr>
            <w:r>
              <w:rPr>
                <w:sz w:val="18"/>
                <w:szCs w:val="18"/>
              </w:rPr>
              <w:t>5’</w:t>
            </w:r>
          </w:p>
        </w:tc>
        <w:tc>
          <w:tcPr>
            <w:tcW w:w="2175" w:type="dxa"/>
            <w:shd w:val="clear" w:color="auto" w:fill="auto"/>
            <w:tcMar>
              <w:top w:w="100" w:type="dxa"/>
              <w:left w:w="100" w:type="dxa"/>
              <w:bottom w:w="100" w:type="dxa"/>
              <w:right w:w="100" w:type="dxa"/>
            </w:tcMar>
          </w:tcPr>
          <w:p w14:paraId="1496996F" w14:textId="77777777" w:rsidR="0044292D" w:rsidRDefault="0057687C">
            <w:pPr>
              <w:widowControl w:val="0"/>
              <w:spacing w:line="240" w:lineRule="auto"/>
              <w:jc w:val="center"/>
              <w:rPr>
                <w:sz w:val="18"/>
                <w:szCs w:val="18"/>
              </w:rPr>
            </w:pPr>
            <w:r>
              <w:rPr>
                <w:sz w:val="18"/>
                <w:szCs w:val="18"/>
              </w:rPr>
              <w:t>5’</w:t>
            </w:r>
          </w:p>
        </w:tc>
      </w:tr>
      <w:tr w:rsidR="0044292D" w14:paraId="694EFE6E" w14:textId="77777777" w:rsidTr="00777639">
        <w:trPr>
          <w:trHeight w:val="20"/>
        </w:trPr>
        <w:tc>
          <w:tcPr>
            <w:tcW w:w="3500" w:type="dxa"/>
            <w:shd w:val="clear" w:color="auto" w:fill="auto"/>
            <w:tcMar>
              <w:top w:w="100" w:type="dxa"/>
              <w:left w:w="100" w:type="dxa"/>
              <w:bottom w:w="100" w:type="dxa"/>
              <w:right w:w="100" w:type="dxa"/>
            </w:tcMar>
          </w:tcPr>
          <w:p w14:paraId="4E235D79" w14:textId="77777777" w:rsidR="0044292D" w:rsidRDefault="0057687C">
            <w:pPr>
              <w:widowControl w:val="0"/>
              <w:pBdr>
                <w:top w:val="nil"/>
                <w:left w:val="nil"/>
                <w:bottom w:val="nil"/>
                <w:right w:val="nil"/>
                <w:between w:val="nil"/>
              </w:pBdr>
              <w:spacing w:line="240" w:lineRule="auto"/>
              <w:rPr>
                <w:sz w:val="18"/>
                <w:szCs w:val="18"/>
              </w:rPr>
            </w:pPr>
            <w:r>
              <w:rPr>
                <w:sz w:val="18"/>
                <w:szCs w:val="18"/>
                <w:highlight w:val="white"/>
              </w:rPr>
              <w:t>Abutting an R District</w:t>
            </w:r>
          </w:p>
        </w:tc>
        <w:tc>
          <w:tcPr>
            <w:tcW w:w="5860" w:type="dxa"/>
            <w:gridSpan w:val="3"/>
            <w:shd w:val="clear" w:color="auto" w:fill="auto"/>
            <w:tcMar>
              <w:top w:w="100" w:type="dxa"/>
              <w:left w:w="100" w:type="dxa"/>
              <w:bottom w:w="100" w:type="dxa"/>
              <w:right w:w="100" w:type="dxa"/>
            </w:tcMar>
          </w:tcPr>
          <w:p w14:paraId="3DC5D37C"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15’</w:t>
            </w:r>
          </w:p>
        </w:tc>
      </w:tr>
      <w:tr w:rsidR="0044292D" w14:paraId="575ADB53" w14:textId="77777777" w:rsidTr="00777639">
        <w:trPr>
          <w:trHeight w:val="20"/>
        </w:trPr>
        <w:tc>
          <w:tcPr>
            <w:tcW w:w="9360" w:type="dxa"/>
            <w:gridSpan w:val="4"/>
            <w:shd w:val="clear" w:color="auto" w:fill="auto"/>
            <w:tcMar>
              <w:top w:w="100" w:type="dxa"/>
              <w:left w:w="100" w:type="dxa"/>
              <w:bottom w:w="100" w:type="dxa"/>
              <w:right w:w="100" w:type="dxa"/>
            </w:tcMar>
          </w:tcPr>
          <w:p w14:paraId="1683BF9E" w14:textId="77777777" w:rsidR="0044292D" w:rsidRDefault="0057687C">
            <w:pPr>
              <w:widowControl w:val="0"/>
              <w:pBdr>
                <w:top w:val="nil"/>
                <w:left w:val="nil"/>
                <w:bottom w:val="nil"/>
                <w:right w:val="nil"/>
                <w:between w:val="nil"/>
              </w:pBdr>
              <w:spacing w:line="240" w:lineRule="auto"/>
              <w:rPr>
                <w:b/>
                <w:sz w:val="20"/>
                <w:szCs w:val="20"/>
              </w:rPr>
            </w:pPr>
            <w:r>
              <w:rPr>
                <w:b/>
                <w:sz w:val="20"/>
                <w:szCs w:val="20"/>
              </w:rPr>
              <w:t>Rear (min.)</w:t>
            </w:r>
          </w:p>
        </w:tc>
      </w:tr>
      <w:tr w:rsidR="0044292D" w14:paraId="6B839918" w14:textId="77777777" w:rsidTr="00777639">
        <w:trPr>
          <w:trHeight w:val="20"/>
        </w:trPr>
        <w:tc>
          <w:tcPr>
            <w:tcW w:w="3500" w:type="dxa"/>
            <w:shd w:val="clear" w:color="auto" w:fill="auto"/>
            <w:tcMar>
              <w:top w:w="100" w:type="dxa"/>
              <w:left w:w="100" w:type="dxa"/>
              <w:bottom w:w="100" w:type="dxa"/>
              <w:right w:w="100" w:type="dxa"/>
            </w:tcMar>
          </w:tcPr>
          <w:p w14:paraId="539CF191" w14:textId="77777777" w:rsidR="0044292D" w:rsidRDefault="0057687C">
            <w:pPr>
              <w:widowControl w:val="0"/>
              <w:pBdr>
                <w:top w:val="nil"/>
                <w:left w:val="nil"/>
                <w:bottom w:val="nil"/>
                <w:right w:val="nil"/>
                <w:between w:val="nil"/>
              </w:pBdr>
              <w:spacing w:line="240" w:lineRule="auto"/>
              <w:rPr>
                <w:sz w:val="18"/>
                <w:szCs w:val="18"/>
              </w:rPr>
            </w:pPr>
            <w:r>
              <w:rPr>
                <w:sz w:val="18"/>
                <w:szCs w:val="18"/>
              </w:rPr>
              <w:t>Abutting a non-R District</w:t>
            </w:r>
          </w:p>
        </w:tc>
        <w:tc>
          <w:tcPr>
            <w:tcW w:w="1390" w:type="dxa"/>
            <w:shd w:val="clear" w:color="auto" w:fill="auto"/>
            <w:tcMar>
              <w:top w:w="100" w:type="dxa"/>
              <w:left w:w="100" w:type="dxa"/>
              <w:bottom w:w="100" w:type="dxa"/>
              <w:right w:w="100" w:type="dxa"/>
            </w:tcMar>
          </w:tcPr>
          <w:p w14:paraId="46EC2F87"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10’</w:t>
            </w:r>
          </w:p>
        </w:tc>
        <w:tc>
          <w:tcPr>
            <w:tcW w:w="2295" w:type="dxa"/>
            <w:shd w:val="clear" w:color="auto" w:fill="auto"/>
            <w:tcMar>
              <w:top w:w="100" w:type="dxa"/>
              <w:left w:w="100" w:type="dxa"/>
              <w:bottom w:w="100" w:type="dxa"/>
              <w:right w:w="100" w:type="dxa"/>
            </w:tcMar>
          </w:tcPr>
          <w:p w14:paraId="6DE81E70" w14:textId="77777777" w:rsidR="0044292D" w:rsidRDefault="0057687C">
            <w:pPr>
              <w:widowControl w:val="0"/>
              <w:spacing w:line="240" w:lineRule="auto"/>
              <w:jc w:val="center"/>
              <w:rPr>
                <w:sz w:val="18"/>
                <w:szCs w:val="18"/>
              </w:rPr>
            </w:pPr>
            <w:r>
              <w:rPr>
                <w:sz w:val="18"/>
                <w:szCs w:val="18"/>
              </w:rPr>
              <w:t>5’</w:t>
            </w:r>
          </w:p>
        </w:tc>
        <w:tc>
          <w:tcPr>
            <w:tcW w:w="2175" w:type="dxa"/>
            <w:shd w:val="clear" w:color="auto" w:fill="auto"/>
            <w:tcMar>
              <w:top w:w="100" w:type="dxa"/>
              <w:left w:w="100" w:type="dxa"/>
              <w:bottom w:w="100" w:type="dxa"/>
              <w:right w:w="100" w:type="dxa"/>
            </w:tcMar>
          </w:tcPr>
          <w:p w14:paraId="7CE4AB11" w14:textId="77777777" w:rsidR="0044292D" w:rsidRDefault="0057687C">
            <w:pPr>
              <w:widowControl w:val="0"/>
              <w:spacing w:line="240" w:lineRule="auto"/>
              <w:jc w:val="center"/>
              <w:rPr>
                <w:sz w:val="18"/>
                <w:szCs w:val="18"/>
              </w:rPr>
            </w:pPr>
            <w:r>
              <w:rPr>
                <w:sz w:val="18"/>
                <w:szCs w:val="18"/>
              </w:rPr>
              <w:t>5’</w:t>
            </w:r>
          </w:p>
        </w:tc>
      </w:tr>
      <w:tr w:rsidR="0044292D" w14:paraId="642334C7" w14:textId="77777777" w:rsidTr="00777639">
        <w:trPr>
          <w:trHeight w:val="20"/>
        </w:trPr>
        <w:tc>
          <w:tcPr>
            <w:tcW w:w="3500" w:type="dxa"/>
            <w:shd w:val="clear" w:color="auto" w:fill="auto"/>
            <w:tcMar>
              <w:top w:w="100" w:type="dxa"/>
              <w:left w:w="100" w:type="dxa"/>
              <w:bottom w:w="100" w:type="dxa"/>
              <w:right w:w="100" w:type="dxa"/>
            </w:tcMar>
          </w:tcPr>
          <w:p w14:paraId="3295198B" w14:textId="77777777" w:rsidR="0044292D" w:rsidRDefault="0057687C">
            <w:pPr>
              <w:widowControl w:val="0"/>
              <w:pBdr>
                <w:top w:val="nil"/>
                <w:left w:val="nil"/>
                <w:bottom w:val="nil"/>
                <w:right w:val="nil"/>
                <w:between w:val="nil"/>
              </w:pBdr>
              <w:spacing w:line="240" w:lineRule="auto"/>
              <w:rPr>
                <w:sz w:val="18"/>
                <w:szCs w:val="18"/>
              </w:rPr>
            </w:pPr>
            <w:r>
              <w:rPr>
                <w:sz w:val="18"/>
                <w:szCs w:val="18"/>
              </w:rPr>
              <w:t>Abutting an R District</w:t>
            </w:r>
          </w:p>
        </w:tc>
        <w:tc>
          <w:tcPr>
            <w:tcW w:w="5860" w:type="dxa"/>
            <w:gridSpan w:val="3"/>
            <w:shd w:val="clear" w:color="auto" w:fill="auto"/>
            <w:tcMar>
              <w:top w:w="100" w:type="dxa"/>
              <w:left w:w="100" w:type="dxa"/>
              <w:bottom w:w="100" w:type="dxa"/>
              <w:right w:w="100" w:type="dxa"/>
            </w:tcMar>
          </w:tcPr>
          <w:p w14:paraId="1D01ABA9"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15’</w:t>
            </w:r>
          </w:p>
        </w:tc>
      </w:tr>
      <w:tr w:rsidR="0044292D" w14:paraId="3D803C35" w14:textId="77777777" w:rsidTr="00777639">
        <w:trPr>
          <w:trHeight w:val="20"/>
        </w:trPr>
        <w:tc>
          <w:tcPr>
            <w:tcW w:w="9360" w:type="dxa"/>
            <w:gridSpan w:val="4"/>
            <w:shd w:val="clear" w:color="auto" w:fill="434343"/>
            <w:tcMar>
              <w:top w:w="100" w:type="dxa"/>
              <w:left w:w="100" w:type="dxa"/>
              <w:bottom w:w="100" w:type="dxa"/>
              <w:right w:w="100" w:type="dxa"/>
            </w:tcMar>
          </w:tcPr>
          <w:p w14:paraId="35ACB3F3" w14:textId="77777777" w:rsidR="0044292D" w:rsidRDefault="0057687C">
            <w:pPr>
              <w:widowControl w:val="0"/>
              <w:spacing w:line="240" w:lineRule="auto"/>
              <w:rPr>
                <w:b/>
                <w:color w:val="FFFFFF"/>
                <w:sz w:val="20"/>
                <w:szCs w:val="20"/>
              </w:rPr>
            </w:pPr>
            <w:r>
              <w:rPr>
                <w:b/>
                <w:color w:val="FFFFFF"/>
                <w:sz w:val="20"/>
                <w:szCs w:val="20"/>
              </w:rPr>
              <w:t>Building Separation for Multiple Buildings on a Lot (min.)</w:t>
            </w:r>
          </w:p>
        </w:tc>
      </w:tr>
      <w:tr w:rsidR="0044292D" w14:paraId="45BE592D" w14:textId="77777777" w:rsidTr="00777639">
        <w:trPr>
          <w:trHeight w:val="20"/>
        </w:trPr>
        <w:tc>
          <w:tcPr>
            <w:tcW w:w="3500" w:type="dxa"/>
            <w:tcMar>
              <w:top w:w="100" w:type="dxa"/>
              <w:left w:w="100" w:type="dxa"/>
              <w:bottom w:w="100" w:type="dxa"/>
              <w:right w:w="100" w:type="dxa"/>
            </w:tcMar>
          </w:tcPr>
          <w:p w14:paraId="7B92894E" w14:textId="77777777" w:rsidR="0044292D" w:rsidRDefault="0057687C">
            <w:pPr>
              <w:widowControl w:val="0"/>
              <w:spacing w:line="240" w:lineRule="auto"/>
              <w:rPr>
                <w:sz w:val="20"/>
                <w:szCs w:val="20"/>
              </w:rPr>
            </w:pPr>
            <w:r>
              <w:rPr>
                <w:sz w:val="20"/>
                <w:szCs w:val="20"/>
              </w:rPr>
              <w:t>–</w:t>
            </w:r>
          </w:p>
        </w:tc>
        <w:tc>
          <w:tcPr>
            <w:tcW w:w="1390" w:type="dxa"/>
            <w:shd w:val="clear" w:color="auto" w:fill="auto"/>
            <w:tcMar>
              <w:top w:w="100" w:type="dxa"/>
              <w:left w:w="100" w:type="dxa"/>
              <w:bottom w:w="100" w:type="dxa"/>
              <w:right w:w="100" w:type="dxa"/>
            </w:tcMar>
          </w:tcPr>
          <w:p w14:paraId="3FAA5D30" w14:textId="77777777" w:rsidR="0044292D" w:rsidRDefault="0057687C">
            <w:pPr>
              <w:widowControl w:val="0"/>
              <w:spacing w:line="240" w:lineRule="auto"/>
              <w:jc w:val="center"/>
              <w:rPr>
                <w:sz w:val="18"/>
                <w:szCs w:val="18"/>
              </w:rPr>
            </w:pPr>
            <w:r>
              <w:rPr>
                <w:sz w:val="18"/>
                <w:szCs w:val="18"/>
              </w:rPr>
              <w:t>15’</w:t>
            </w:r>
          </w:p>
        </w:tc>
        <w:tc>
          <w:tcPr>
            <w:tcW w:w="2295" w:type="dxa"/>
            <w:shd w:val="clear" w:color="auto" w:fill="auto"/>
            <w:tcMar>
              <w:top w:w="100" w:type="dxa"/>
              <w:left w:w="100" w:type="dxa"/>
              <w:bottom w:w="100" w:type="dxa"/>
              <w:right w:w="100" w:type="dxa"/>
            </w:tcMar>
          </w:tcPr>
          <w:p w14:paraId="05C5CAFD" w14:textId="77777777" w:rsidR="0044292D" w:rsidRDefault="0057687C">
            <w:pPr>
              <w:widowControl w:val="0"/>
              <w:spacing w:line="240" w:lineRule="auto"/>
              <w:jc w:val="center"/>
              <w:rPr>
                <w:sz w:val="18"/>
                <w:szCs w:val="18"/>
              </w:rPr>
            </w:pPr>
            <w:r>
              <w:rPr>
                <w:sz w:val="18"/>
                <w:szCs w:val="18"/>
              </w:rPr>
              <w:t>25’</w:t>
            </w:r>
          </w:p>
        </w:tc>
        <w:tc>
          <w:tcPr>
            <w:tcW w:w="2175" w:type="dxa"/>
            <w:shd w:val="clear" w:color="auto" w:fill="auto"/>
            <w:tcMar>
              <w:top w:w="100" w:type="dxa"/>
              <w:left w:w="100" w:type="dxa"/>
              <w:bottom w:w="100" w:type="dxa"/>
              <w:right w:w="100" w:type="dxa"/>
            </w:tcMar>
          </w:tcPr>
          <w:p w14:paraId="10090981" w14:textId="77777777" w:rsidR="0044292D" w:rsidRDefault="0057687C">
            <w:pPr>
              <w:widowControl w:val="0"/>
              <w:spacing w:line="240" w:lineRule="auto"/>
              <w:jc w:val="center"/>
              <w:rPr>
                <w:sz w:val="18"/>
                <w:szCs w:val="18"/>
              </w:rPr>
            </w:pPr>
            <w:r>
              <w:rPr>
                <w:sz w:val="18"/>
                <w:szCs w:val="18"/>
              </w:rPr>
              <w:t>25’</w:t>
            </w:r>
          </w:p>
        </w:tc>
      </w:tr>
      <w:tr w:rsidR="0044292D" w14:paraId="0DB6DBE9" w14:textId="77777777" w:rsidTr="00777639">
        <w:trPr>
          <w:trHeight w:val="20"/>
        </w:trPr>
        <w:tc>
          <w:tcPr>
            <w:tcW w:w="9360" w:type="dxa"/>
            <w:gridSpan w:val="4"/>
            <w:shd w:val="clear" w:color="auto" w:fill="434343"/>
            <w:tcMar>
              <w:top w:w="100" w:type="dxa"/>
              <w:left w:w="100" w:type="dxa"/>
              <w:bottom w:w="100" w:type="dxa"/>
              <w:right w:w="100" w:type="dxa"/>
            </w:tcMar>
          </w:tcPr>
          <w:p w14:paraId="326FFFD8" w14:textId="77777777" w:rsidR="0044292D" w:rsidRDefault="0057687C">
            <w:pPr>
              <w:widowControl w:val="0"/>
              <w:spacing w:line="240" w:lineRule="auto"/>
              <w:rPr>
                <w:b/>
                <w:color w:val="FFFFFF"/>
                <w:sz w:val="20"/>
                <w:szCs w:val="20"/>
              </w:rPr>
            </w:pPr>
            <w:r>
              <w:rPr>
                <w:b/>
                <w:color w:val="FFFFFF"/>
                <w:sz w:val="20"/>
                <w:szCs w:val="20"/>
              </w:rPr>
              <w:t>Facade</w:t>
            </w:r>
          </w:p>
        </w:tc>
      </w:tr>
      <w:tr w:rsidR="0044292D" w14:paraId="37746007" w14:textId="77777777" w:rsidTr="00777639">
        <w:trPr>
          <w:trHeight w:val="20"/>
        </w:trPr>
        <w:tc>
          <w:tcPr>
            <w:tcW w:w="9360" w:type="dxa"/>
            <w:gridSpan w:val="4"/>
            <w:shd w:val="clear" w:color="auto" w:fill="auto"/>
            <w:tcMar>
              <w:top w:w="100" w:type="dxa"/>
              <w:left w:w="100" w:type="dxa"/>
              <w:bottom w:w="100" w:type="dxa"/>
              <w:right w:w="100" w:type="dxa"/>
            </w:tcMar>
          </w:tcPr>
          <w:p w14:paraId="3B1F3656" w14:textId="77777777" w:rsidR="0044292D" w:rsidRDefault="0057687C">
            <w:pPr>
              <w:widowControl w:val="0"/>
              <w:spacing w:line="240" w:lineRule="auto"/>
              <w:rPr>
                <w:b/>
                <w:sz w:val="20"/>
                <w:szCs w:val="20"/>
              </w:rPr>
            </w:pPr>
            <w:r>
              <w:rPr>
                <w:b/>
                <w:sz w:val="20"/>
                <w:szCs w:val="20"/>
              </w:rPr>
              <w:t>Facade Build Out Ratio (min.)</w:t>
            </w:r>
          </w:p>
        </w:tc>
      </w:tr>
      <w:tr w:rsidR="0044292D" w14:paraId="3A971865" w14:textId="77777777" w:rsidTr="00777639">
        <w:trPr>
          <w:trHeight w:val="20"/>
        </w:trPr>
        <w:tc>
          <w:tcPr>
            <w:tcW w:w="3500" w:type="dxa"/>
            <w:shd w:val="clear" w:color="auto" w:fill="auto"/>
            <w:tcMar>
              <w:top w:w="100" w:type="dxa"/>
              <w:left w:w="100" w:type="dxa"/>
              <w:bottom w:w="100" w:type="dxa"/>
              <w:right w:w="100" w:type="dxa"/>
            </w:tcMar>
          </w:tcPr>
          <w:p w14:paraId="0694BDC5" w14:textId="77777777" w:rsidR="0044292D" w:rsidRDefault="0057687C">
            <w:pPr>
              <w:widowControl w:val="0"/>
              <w:pBdr>
                <w:top w:val="nil"/>
                <w:left w:val="nil"/>
                <w:bottom w:val="nil"/>
                <w:right w:val="nil"/>
                <w:between w:val="nil"/>
              </w:pBdr>
              <w:spacing w:line="240" w:lineRule="auto"/>
              <w:rPr>
                <w:sz w:val="18"/>
                <w:szCs w:val="18"/>
              </w:rPr>
            </w:pPr>
            <w:r>
              <w:rPr>
                <w:sz w:val="18"/>
                <w:szCs w:val="18"/>
              </w:rPr>
              <w:t>Facing a public right-of-way</w:t>
            </w:r>
          </w:p>
        </w:tc>
        <w:tc>
          <w:tcPr>
            <w:tcW w:w="5860" w:type="dxa"/>
            <w:gridSpan w:val="3"/>
            <w:shd w:val="clear" w:color="auto" w:fill="auto"/>
            <w:tcMar>
              <w:top w:w="100" w:type="dxa"/>
              <w:left w:w="100" w:type="dxa"/>
              <w:bottom w:w="100" w:type="dxa"/>
              <w:right w:w="100" w:type="dxa"/>
            </w:tcMar>
          </w:tcPr>
          <w:p w14:paraId="1340DE26"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75%, or Lot Width within side setbacks minus 15’, whichever is less</w:t>
            </w:r>
          </w:p>
        </w:tc>
      </w:tr>
      <w:tr w:rsidR="0044292D" w14:paraId="0E9AF346" w14:textId="77777777" w:rsidTr="00777639">
        <w:trPr>
          <w:trHeight w:val="20"/>
        </w:trPr>
        <w:tc>
          <w:tcPr>
            <w:tcW w:w="9360" w:type="dxa"/>
            <w:gridSpan w:val="4"/>
            <w:shd w:val="clear" w:color="auto" w:fill="434343"/>
            <w:tcMar>
              <w:top w:w="100" w:type="dxa"/>
              <w:left w:w="100" w:type="dxa"/>
              <w:bottom w:w="100" w:type="dxa"/>
              <w:right w:w="100" w:type="dxa"/>
            </w:tcMar>
          </w:tcPr>
          <w:p w14:paraId="518FA432" w14:textId="77777777" w:rsidR="0044292D" w:rsidRDefault="0057687C">
            <w:pPr>
              <w:widowControl w:val="0"/>
              <w:spacing w:line="240" w:lineRule="auto"/>
              <w:rPr>
                <w:b/>
                <w:color w:val="FFFFFF"/>
                <w:sz w:val="20"/>
                <w:szCs w:val="20"/>
              </w:rPr>
            </w:pPr>
            <w:r>
              <w:rPr>
                <w:b/>
                <w:color w:val="FFFFFF"/>
                <w:sz w:val="20"/>
                <w:szCs w:val="20"/>
              </w:rPr>
              <w:t>Parking Placement</w:t>
            </w:r>
          </w:p>
        </w:tc>
      </w:tr>
      <w:tr w:rsidR="0044292D" w14:paraId="1021B60E" w14:textId="77777777" w:rsidTr="00777639">
        <w:trPr>
          <w:trHeight w:val="20"/>
        </w:trPr>
        <w:tc>
          <w:tcPr>
            <w:tcW w:w="9360" w:type="dxa"/>
            <w:gridSpan w:val="4"/>
            <w:shd w:val="clear" w:color="auto" w:fill="auto"/>
            <w:tcMar>
              <w:top w:w="100" w:type="dxa"/>
              <w:left w:w="100" w:type="dxa"/>
              <w:bottom w:w="100" w:type="dxa"/>
              <w:right w:w="100" w:type="dxa"/>
            </w:tcMar>
          </w:tcPr>
          <w:p w14:paraId="6973877D" w14:textId="77777777" w:rsidR="0044292D" w:rsidRDefault="0057687C">
            <w:pPr>
              <w:widowControl w:val="0"/>
              <w:spacing w:line="240" w:lineRule="auto"/>
              <w:rPr>
                <w:b/>
                <w:sz w:val="20"/>
                <w:szCs w:val="20"/>
              </w:rPr>
            </w:pPr>
            <w:r>
              <w:rPr>
                <w:b/>
                <w:sz w:val="20"/>
                <w:szCs w:val="20"/>
              </w:rPr>
              <w:t>Parking Setbacks (min.)</w:t>
            </w:r>
          </w:p>
        </w:tc>
      </w:tr>
      <w:tr w:rsidR="0044292D" w14:paraId="408687DB" w14:textId="77777777" w:rsidTr="00777639">
        <w:trPr>
          <w:trHeight w:val="20"/>
        </w:trPr>
        <w:tc>
          <w:tcPr>
            <w:tcW w:w="3500" w:type="dxa"/>
            <w:shd w:val="clear" w:color="auto" w:fill="auto"/>
            <w:tcMar>
              <w:top w:w="100" w:type="dxa"/>
              <w:left w:w="100" w:type="dxa"/>
              <w:bottom w:w="100" w:type="dxa"/>
              <w:right w:w="100" w:type="dxa"/>
            </w:tcMar>
          </w:tcPr>
          <w:p w14:paraId="78520349" w14:textId="77777777" w:rsidR="0044292D" w:rsidRDefault="0057687C">
            <w:pPr>
              <w:widowControl w:val="0"/>
              <w:spacing w:line="240" w:lineRule="auto"/>
              <w:rPr>
                <w:sz w:val="18"/>
                <w:szCs w:val="18"/>
              </w:rPr>
            </w:pPr>
            <w:r>
              <w:rPr>
                <w:sz w:val="18"/>
                <w:szCs w:val="18"/>
              </w:rPr>
              <w:t>Facing a public right of way</w:t>
            </w:r>
          </w:p>
        </w:tc>
        <w:tc>
          <w:tcPr>
            <w:tcW w:w="5860" w:type="dxa"/>
            <w:gridSpan w:val="3"/>
            <w:shd w:val="clear" w:color="auto" w:fill="auto"/>
            <w:tcMar>
              <w:top w:w="100" w:type="dxa"/>
              <w:left w:w="100" w:type="dxa"/>
              <w:bottom w:w="100" w:type="dxa"/>
              <w:right w:w="100" w:type="dxa"/>
            </w:tcMar>
          </w:tcPr>
          <w:p w14:paraId="7D54FD4E"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12’</w:t>
            </w:r>
          </w:p>
        </w:tc>
      </w:tr>
      <w:tr w:rsidR="0044292D" w14:paraId="296C8556" w14:textId="77777777" w:rsidTr="00777639">
        <w:trPr>
          <w:trHeight w:val="20"/>
        </w:trPr>
        <w:tc>
          <w:tcPr>
            <w:tcW w:w="3500" w:type="dxa"/>
            <w:shd w:val="clear" w:color="auto" w:fill="auto"/>
            <w:tcMar>
              <w:top w:w="100" w:type="dxa"/>
              <w:left w:w="100" w:type="dxa"/>
              <w:bottom w:w="100" w:type="dxa"/>
              <w:right w:w="100" w:type="dxa"/>
            </w:tcMar>
          </w:tcPr>
          <w:p w14:paraId="0416B368" w14:textId="77777777" w:rsidR="0044292D" w:rsidRDefault="0057687C">
            <w:pPr>
              <w:widowControl w:val="0"/>
              <w:spacing w:line="240" w:lineRule="auto"/>
              <w:rPr>
                <w:sz w:val="18"/>
                <w:szCs w:val="18"/>
              </w:rPr>
            </w:pPr>
            <w:r>
              <w:rPr>
                <w:sz w:val="18"/>
                <w:szCs w:val="18"/>
              </w:rPr>
              <w:t>Not facing a public right of way</w:t>
            </w:r>
          </w:p>
        </w:tc>
        <w:tc>
          <w:tcPr>
            <w:tcW w:w="5860" w:type="dxa"/>
            <w:gridSpan w:val="3"/>
            <w:shd w:val="clear" w:color="auto" w:fill="auto"/>
            <w:tcMar>
              <w:top w:w="100" w:type="dxa"/>
              <w:left w:w="100" w:type="dxa"/>
              <w:bottom w:w="100" w:type="dxa"/>
              <w:right w:w="100" w:type="dxa"/>
            </w:tcMar>
          </w:tcPr>
          <w:p w14:paraId="75ED3DE6" w14:textId="77777777" w:rsidR="0044292D" w:rsidRDefault="0057687C">
            <w:pPr>
              <w:widowControl w:val="0"/>
              <w:pBdr>
                <w:top w:val="nil"/>
                <w:left w:val="nil"/>
                <w:bottom w:val="nil"/>
                <w:right w:val="nil"/>
                <w:between w:val="nil"/>
              </w:pBdr>
              <w:spacing w:line="240" w:lineRule="auto"/>
              <w:jc w:val="center"/>
              <w:rPr>
                <w:sz w:val="18"/>
                <w:szCs w:val="18"/>
              </w:rPr>
            </w:pPr>
            <w:r>
              <w:rPr>
                <w:sz w:val="18"/>
                <w:szCs w:val="18"/>
              </w:rPr>
              <w:t>4’</w:t>
            </w:r>
          </w:p>
        </w:tc>
      </w:tr>
    </w:tbl>
    <w:p w14:paraId="3DAAC157" w14:textId="77777777" w:rsidR="0057687C" w:rsidRDefault="0057687C" w:rsidP="0057687C"/>
    <w:p w14:paraId="4343F38F" w14:textId="52F5E04D" w:rsidR="0044292D" w:rsidRDefault="0057687C">
      <w:pPr>
        <w:numPr>
          <w:ilvl w:val="0"/>
          <w:numId w:val="5"/>
        </w:numPr>
      </w:pPr>
      <w:r>
        <w:lastRenderedPageBreak/>
        <w:t>Building Standard</w:t>
      </w:r>
      <w:r>
        <w:t>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965"/>
        <w:gridCol w:w="1950"/>
        <w:gridCol w:w="1965"/>
      </w:tblGrid>
      <w:tr w:rsidR="0044292D" w14:paraId="6791E590" w14:textId="77777777" w:rsidTr="00777639">
        <w:trPr>
          <w:trHeight w:val="20"/>
          <w:tblHeader/>
        </w:trPr>
        <w:tc>
          <w:tcPr>
            <w:tcW w:w="3480" w:type="dxa"/>
            <w:shd w:val="clear" w:color="auto" w:fill="6FA8DC"/>
            <w:tcMar>
              <w:top w:w="100" w:type="dxa"/>
              <w:left w:w="100" w:type="dxa"/>
              <w:bottom w:w="100" w:type="dxa"/>
              <w:right w:w="100" w:type="dxa"/>
            </w:tcMar>
          </w:tcPr>
          <w:p w14:paraId="20E37B16" w14:textId="77777777" w:rsidR="0044292D" w:rsidRDefault="0057687C">
            <w:pPr>
              <w:widowControl w:val="0"/>
              <w:spacing w:line="240" w:lineRule="auto"/>
              <w:rPr>
                <w:b/>
                <w:sz w:val="20"/>
                <w:szCs w:val="20"/>
              </w:rPr>
            </w:pPr>
            <w:r>
              <w:rPr>
                <w:b/>
                <w:sz w:val="20"/>
                <w:szCs w:val="20"/>
              </w:rPr>
              <w:t>VCOD</w:t>
            </w:r>
          </w:p>
        </w:tc>
        <w:tc>
          <w:tcPr>
            <w:tcW w:w="1965" w:type="dxa"/>
            <w:shd w:val="clear" w:color="auto" w:fill="6FA8DC"/>
            <w:tcMar>
              <w:top w:w="100" w:type="dxa"/>
              <w:left w:w="100" w:type="dxa"/>
              <w:bottom w:w="100" w:type="dxa"/>
              <w:right w:w="100" w:type="dxa"/>
            </w:tcMar>
          </w:tcPr>
          <w:p w14:paraId="51F5AF11" w14:textId="77777777" w:rsidR="0044292D" w:rsidRDefault="0057687C">
            <w:pPr>
              <w:widowControl w:val="0"/>
              <w:spacing w:line="240" w:lineRule="auto"/>
              <w:jc w:val="center"/>
              <w:rPr>
                <w:b/>
                <w:sz w:val="20"/>
                <w:szCs w:val="20"/>
              </w:rPr>
            </w:pPr>
            <w:r>
              <w:rPr>
                <w:b/>
                <w:sz w:val="20"/>
                <w:szCs w:val="20"/>
              </w:rPr>
              <w:t>VC1</w:t>
            </w:r>
          </w:p>
        </w:tc>
        <w:tc>
          <w:tcPr>
            <w:tcW w:w="1950" w:type="dxa"/>
            <w:shd w:val="clear" w:color="auto" w:fill="6FA8DC"/>
            <w:tcMar>
              <w:top w:w="100" w:type="dxa"/>
              <w:left w:w="100" w:type="dxa"/>
              <w:bottom w:w="100" w:type="dxa"/>
              <w:right w:w="100" w:type="dxa"/>
            </w:tcMar>
          </w:tcPr>
          <w:p w14:paraId="594A023B" w14:textId="77777777" w:rsidR="0044292D" w:rsidRDefault="0057687C">
            <w:pPr>
              <w:widowControl w:val="0"/>
              <w:spacing w:line="240" w:lineRule="auto"/>
              <w:jc w:val="center"/>
              <w:rPr>
                <w:b/>
                <w:sz w:val="20"/>
                <w:szCs w:val="20"/>
              </w:rPr>
            </w:pPr>
            <w:r>
              <w:rPr>
                <w:b/>
                <w:sz w:val="20"/>
                <w:szCs w:val="20"/>
              </w:rPr>
              <w:t>VC2</w:t>
            </w:r>
          </w:p>
        </w:tc>
        <w:tc>
          <w:tcPr>
            <w:tcW w:w="1965" w:type="dxa"/>
            <w:shd w:val="clear" w:color="auto" w:fill="6FA8DC"/>
            <w:tcMar>
              <w:top w:w="100" w:type="dxa"/>
              <w:left w:w="100" w:type="dxa"/>
              <w:bottom w:w="100" w:type="dxa"/>
              <w:right w:w="100" w:type="dxa"/>
            </w:tcMar>
          </w:tcPr>
          <w:p w14:paraId="07447039" w14:textId="77777777" w:rsidR="0044292D" w:rsidRDefault="0057687C">
            <w:pPr>
              <w:widowControl w:val="0"/>
              <w:spacing w:line="240" w:lineRule="auto"/>
              <w:jc w:val="center"/>
              <w:rPr>
                <w:b/>
                <w:sz w:val="20"/>
                <w:szCs w:val="20"/>
              </w:rPr>
            </w:pPr>
            <w:r>
              <w:rPr>
                <w:b/>
                <w:sz w:val="20"/>
                <w:szCs w:val="20"/>
              </w:rPr>
              <w:t>VC3</w:t>
            </w:r>
          </w:p>
        </w:tc>
      </w:tr>
      <w:tr w:rsidR="0044292D" w14:paraId="7AB0B159" w14:textId="77777777" w:rsidTr="0057687C">
        <w:trPr>
          <w:trHeight w:val="33"/>
        </w:trPr>
        <w:tc>
          <w:tcPr>
            <w:tcW w:w="9360" w:type="dxa"/>
            <w:gridSpan w:val="4"/>
            <w:shd w:val="clear" w:color="auto" w:fill="434343"/>
            <w:tcMar>
              <w:top w:w="100" w:type="dxa"/>
              <w:left w:w="100" w:type="dxa"/>
              <w:bottom w:w="100" w:type="dxa"/>
              <w:right w:w="100" w:type="dxa"/>
            </w:tcMar>
          </w:tcPr>
          <w:p w14:paraId="6320C19E" w14:textId="77777777" w:rsidR="0044292D" w:rsidRDefault="0057687C">
            <w:pPr>
              <w:widowControl w:val="0"/>
              <w:spacing w:line="240" w:lineRule="auto"/>
              <w:rPr>
                <w:b/>
                <w:color w:val="FFFFFF"/>
                <w:sz w:val="20"/>
                <w:szCs w:val="20"/>
              </w:rPr>
            </w:pPr>
            <w:r>
              <w:rPr>
                <w:b/>
                <w:color w:val="FFFFFF"/>
                <w:sz w:val="20"/>
                <w:szCs w:val="20"/>
              </w:rPr>
              <w:t>Building Massing</w:t>
            </w:r>
          </w:p>
        </w:tc>
      </w:tr>
      <w:tr w:rsidR="0044292D" w14:paraId="306BECB6" w14:textId="77777777" w:rsidTr="0057687C">
        <w:trPr>
          <w:trHeight w:val="20"/>
        </w:trPr>
        <w:tc>
          <w:tcPr>
            <w:tcW w:w="9360" w:type="dxa"/>
            <w:gridSpan w:val="4"/>
            <w:shd w:val="clear" w:color="auto" w:fill="auto"/>
            <w:tcMar>
              <w:top w:w="100" w:type="dxa"/>
              <w:left w:w="100" w:type="dxa"/>
              <w:bottom w:w="100" w:type="dxa"/>
              <w:right w:w="100" w:type="dxa"/>
            </w:tcMar>
          </w:tcPr>
          <w:p w14:paraId="67909333" w14:textId="77777777" w:rsidR="0044292D" w:rsidRDefault="0057687C">
            <w:pPr>
              <w:widowControl w:val="0"/>
              <w:spacing w:line="240" w:lineRule="auto"/>
              <w:rPr>
                <w:b/>
                <w:sz w:val="20"/>
                <w:szCs w:val="20"/>
              </w:rPr>
            </w:pPr>
            <w:r>
              <w:rPr>
                <w:b/>
                <w:sz w:val="20"/>
                <w:szCs w:val="20"/>
                <w:highlight w:val="white"/>
              </w:rPr>
              <w:t>Building Footprint, max. (By-Right / Special Permit)</w:t>
            </w:r>
          </w:p>
        </w:tc>
      </w:tr>
      <w:tr w:rsidR="0044292D" w14:paraId="68B9F1DB" w14:textId="77777777" w:rsidTr="0057687C">
        <w:trPr>
          <w:trHeight w:val="20"/>
        </w:trPr>
        <w:tc>
          <w:tcPr>
            <w:tcW w:w="3480" w:type="dxa"/>
            <w:shd w:val="clear" w:color="auto" w:fill="auto"/>
            <w:tcMar>
              <w:top w:w="100" w:type="dxa"/>
              <w:left w:w="100" w:type="dxa"/>
              <w:bottom w:w="100" w:type="dxa"/>
              <w:right w:w="100" w:type="dxa"/>
            </w:tcMar>
          </w:tcPr>
          <w:p w14:paraId="3764CC26" w14:textId="77777777" w:rsidR="0044292D" w:rsidRDefault="0057687C">
            <w:pPr>
              <w:widowControl w:val="0"/>
              <w:spacing w:line="240" w:lineRule="auto"/>
              <w:rPr>
                <w:sz w:val="18"/>
                <w:szCs w:val="18"/>
              </w:rPr>
            </w:pPr>
            <w:r>
              <w:rPr>
                <w:sz w:val="18"/>
                <w:szCs w:val="18"/>
              </w:rPr>
              <w:t>–</w:t>
            </w:r>
          </w:p>
        </w:tc>
        <w:tc>
          <w:tcPr>
            <w:tcW w:w="1965" w:type="dxa"/>
            <w:shd w:val="clear" w:color="auto" w:fill="auto"/>
            <w:tcMar>
              <w:top w:w="100" w:type="dxa"/>
              <w:left w:w="100" w:type="dxa"/>
              <w:bottom w:w="100" w:type="dxa"/>
              <w:right w:w="100" w:type="dxa"/>
            </w:tcMar>
          </w:tcPr>
          <w:p w14:paraId="30F892F7" w14:textId="77777777" w:rsidR="0044292D" w:rsidRDefault="0057687C">
            <w:pPr>
              <w:widowControl w:val="0"/>
              <w:spacing w:line="240" w:lineRule="auto"/>
              <w:jc w:val="center"/>
              <w:rPr>
                <w:sz w:val="18"/>
                <w:szCs w:val="18"/>
              </w:rPr>
            </w:pPr>
            <w:r>
              <w:rPr>
                <w:sz w:val="18"/>
                <w:szCs w:val="18"/>
                <w:highlight w:val="white"/>
              </w:rPr>
              <w:t>4,000 sf / 6,000 sf</w:t>
            </w:r>
          </w:p>
        </w:tc>
        <w:tc>
          <w:tcPr>
            <w:tcW w:w="1950" w:type="dxa"/>
            <w:shd w:val="clear" w:color="auto" w:fill="auto"/>
            <w:tcMar>
              <w:top w:w="100" w:type="dxa"/>
              <w:left w:w="100" w:type="dxa"/>
              <w:bottom w:w="100" w:type="dxa"/>
              <w:right w:w="100" w:type="dxa"/>
            </w:tcMar>
          </w:tcPr>
          <w:p w14:paraId="4B2ADA4F" w14:textId="77777777" w:rsidR="0044292D" w:rsidRDefault="0057687C">
            <w:pPr>
              <w:widowControl w:val="0"/>
              <w:spacing w:line="240" w:lineRule="auto"/>
              <w:jc w:val="center"/>
              <w:rPr>
                <w:sz w:val="18"/>
                <w:szCs w:val="18"/>
              </w:rPr>
            </w:pPr>
            <w:r>
              <w:rPr>
                <w:sz w:val="18"/>
                <w:szCs w:val="18"/>
                <w:highlight w:val="white"/>
              </w:rPr>
              <w:t>10,000 sf / 12,500 sf</w:t>
            </w:r>
          </w:p>
        </w:tc>
        <w:tc>
          <w:tcPr>
            <w:tcW w:w="1965" w:type="dxa"/>
            <w:shd w:val="clear" w:color="auto" w:fill="auto"/>
            <w:tcMar>
              <w:top w:w="100" w:type="dxa"/>
              <w:left w:w="100" w:type="dxa"/>
              <w:bottom w:w="100" w:type="dxa"/>
              <w:right w:w="100" w:type="dxa"/>
            </w:tcMar>
          </w:tcPr>
          <w:p w14:paraId="4605D49A" w14:textId="77777777" w:rsidR="0044292D" w:rsidRDefault="0057687C">
            <w:pPr>
              <w:widowControl w:val="0"/>
              <w:spacing w:line="240" w:lineRule="auto"/>
              <w:jc w:val="center"/>
              <w:rPr>
                <w:sz w:val="18"/>
                <w:szCs w:val="18"/>
              </w:rPr>
            </w:pPr>
            <w:r>
              <w:rPr>
                <w:sz w:val="18"/>
                <w:szCs w:val="18"/>
                <w:highlight w:val="white"/>
              </w:rPr>
              <w:t>15,000 sf / 17,500 sf</w:t>
            </w:r>
          </w:p>
        </w:tc>
      </w:tr>
      <w:tr w:rsidR="0044292D" w14:paraId="17923295" w14:textId="77777777" w:rsidTr="00777639">
        <w:trPr>
          <w:trHeight w:val="20"/>
        </w:trPr>
        <w:tc>
          <w:tcPr>
            <w:tcW w:w="9360" w:type="dxa"/>
            <w:gridSpan w:val="4"/>
            <w:shd w:val="clear" w:color="auto" w:fill="auto"/>
            <w:tcMar>
              <w:top w:w="100" w:type="dxa"/>
              <w:left w:w="100" w:type="dxa"/>
              <w:bottom w:w="100" w:type="dxa"/>
              <w:right w:w="100" w:type="dxa"/>
            </w:tcMar>
          </w:tcPr>
          <w:p w14:paraId="40805D90" w14:textId="77777777" w:rsidR="0044292D" w:rsidRDefault="0057687C">
            <w:pPr>
              <w:widowControl w:val="0"/>
              <w:spacing w:line="240" w:lineRule="auto"/>
              <w:rPr>
                <w:b/>
                <w:sz w:val="20"/>
                <w:szCs w:val="20"/>
              </w:rPr>
            </w:pPr>
            <w:r>
              <w:rPr>
                <w:b/>
                <w:sz w:val="20"/>
                <w:szCs w:val="20"/>
                <w:highlight w:val="white"/>
              </w:rPr>
              <w:t>Building Height in Stories, max. (By-Right / Special Permit)</w:t>
            </w:r>
          </w:p>
        </w:tc>
      </w:tr>
      <w:tr w:rsidR="0044292D" w14:paraId="336096B0" w14:textId="77777777" w:rsidTr="0057687C">
        <w:trPr>
          <w:trHeight w:val="20"/>
        </w:trPr>
        <w:tc>
          <w:tcPr>
            <w:tcW w:w="3480" w:type="dxa"/>
            <w:shd w:val="clear" w:color="auto" w:fill="auto"/>
            <w:tcMar>
              <w:top w:w="100" w:type="dxa"/>
              <w:left w:w="100" w:type="dxa"/>
              <w:bottom w:w="100" w:type="dxa"/>
              <w:right w:w="100" w:type="dxa"/>
            </w:tcMar>
          </w:tcPr>
          <w:p w14:paraId="5EAB4CBA" w14:textId="77777777" w:rsidR="0044292D" w:rsidRDefault="0057687C">
            <w:pPr>
              <w:widowControl w:val="0"/>
              <w:spacing w:line="240" w:lineRule="auto"/>
              <w:rPr>
                <w:sz w:val="18"/>
                <w:szCs w:val="18"/>
              </w:rPr>
            </w:pPr>
            <w:r>
              <w:rPr>
                <w:sz w:val="18"/>
                <w:szCs w:val="18"/>
              </w:rPr>
              <w:t>Commercial / Mixed Use</w:t>
            </w:r>
            <w:r>
              <w:rPr>
                <w:sz w:val="18"/>
                <w:szCs w:val="18"/>
                <w:vertAlign w:val="superscript"/>
              </w:rPr>
              <w:footnoteReference w:id="5"/>
            </w:r>
          </w:p>
        </w:tc>
        <w:tc>
          <w:tcPr>
            <w:tcW w:w="1965" w:type="dxa"/>
            <w:shd w:val="clear" w:color="auto" w:fill="auto"/>
            <w:tcMar>
              <w:top w:w="100" w:type="dxa"/>
              <w:left w:w="100" w:type="dxa"/>
              <w:bottom w:w="100" w:type="dxa"/>
              <w:right w:w="100" w:type="dxa"/>
            </w:tcMar>
          </w:tcPr>
          <w:p w14:paraId="6CAB6A29" w14:textId="77777777" w:rsidR="0044292D" w:rsidRDefault="0057687C">
            <w:pPr>
              <w:widowControl w:val="0"/>
              <w:spacing w:line="240" w:lineRule="auto"/>
              <w:jc w:val="center"/>
              <w:rPr>
                <w:sz w:val="18"/>
                <w:szCs w:val="18"/>
              </w:rPr>
            </w:pPr>
            <w:r>
              <w:rPr>
                <w:sz w:val="18"/>
                <w:szCs w:val="18"/>
              </w:rPr>
              <w:t>– / 2.5</w:t>
            </w:r>
          </w:p>
        </w:tc>
        <w:tc>
          <w:tcPr>
            <w:tcW w:w="1950" w:type="dxa"/>
            <w:shd w:val="clear" w:color="auto" w:fill="auto"/>
            <w:tcMar>
              <w:top w:w="100" w:type="dxa"/>
              <w:left w:w="100" w:type="dxa"/>
              <w:bottom w:w="100" w:type="dxa"/>
              <w:right w:w="100" w:type="dxa"/>
            </w:tcMar>
          </w:tcPr>
          <w:p w14:paraId="0714AAFF" w14:textId="77777777" w:rsidR="0044292D" w:rsidRDefault="0057687C">
            <w:pPr>
              <w:widowControl w:val="0"/>
              <w:spacing w:line="240" w:lineRule="auto"/>
              <w:jc w:val="center"/>
              <w:rPr>
                <w:sz w:val="18"/>
                <w:szCs w:val="18"/>
              </w:rPr>
            </w:pPr>
            <w:r>
              <w:rPr>
                <w:sz w:val="18"/>
                <w:szCs w:val="18"/>
              </w:rPr>
              <w:t>3.5 / –*</w:t>
            </w:r>
          </w:p>
        </w:tc>
        <w:tc>
          <w:tcPr>
            <w:tcW w:w="1965" w:type="dxa"/>
            <w:shd w:val="clear" w:color="auto" w:fill="auto"/>
            <w:tcMar>
              <w:top w:w="100" w:type="dxa"/>
              <w:left w:w="100" w:type="dxa"/>
              <w:bottom w:w="100" w:type="dxa"/>
              <w:right w:w="100" w:type="dxa"/>
            </w:tcMar>
          </w:tcPr>
          <w:p w14:paraId="3EF0B51B" w14:textId="77777777" w:rsidR="0044292D" w:rsidRDefault="0057687C">
            <w:pPr>
              <w:widowControl w:val="0"/>
              <w:spacing w:line="240" w:lineRule="auto"/>
              <w:jc w:val="center"/>
              <w:rPr>
                <w:sz w:val="18"/>
                <w:szCs w:val="18"/>
              </w:rPr>
            </w:pPr>
            <w:r>
              <w:rPr>
                <w:sz w:val="18"/>
                <w:szCs w:val="18"/>
              </w:rPr>
              <w:t>4.5 / –*</w:t>
            </w:r>
          </w:p>
        </w:tc>
      </w:tr>
      <w:tr w:rsidR="0044292D" w14:paraId="15F6799E" w14:textId="77777777">
        <w:tc>
          <w:tcPr>
            <w:tcW w:w="3480" w:type="dxa"/>
            <w:shd w:val="clear" w:color="auto" w:fill="auto"/>
            <w:tcMar>
              <w:top w:w="100" w:type="dxa"/>
              <w:left w:w="100" w:type="dxa"/>
              <w:bottom w:w="100" w:type="dxa"/>
              <w:right w:w="100" w:type="dxa"/>
            </w:tcMar>
          </w:tcPr>
          <w:p w14:paraId="1B81BB87" w14:textId="77777777" w:rsidR="0044292D" w:rsidRDefault="0057687C">
            <w:pPr>
              <w:widowControl w:val="0"/>
              <w:spacing w:line="240" w:lineRule="auto"/>
              <w:rPr>
                <w:sz w:val="18"/>
                <w:szCs w:val="18"/>
              </w:rPr>
            </w:pPr>
            <w:r>
              <w:rPr>
                <w:sz w:val="18"/>
                <w:szCs w:val="18"/>
              </w:rPr>
              <w:t>Residential</w:t>
            </w:r>
          </w:p>
        </w:tc>
        <w:tc>
          <w:tcPr>
            <w:tcW w:w="1965" w:type="dxa"/>
            <w:shd w:val="clear" w:color="auto" w:fill="auto"/>
            <w:tcMar>
              <w:top w:w="100" w:type="dxa"/>
              <w:left w:w="100" w:type="dxa"/>
              <w:bottom w:w="100" w:type="dxa"/>
              <w:right w:w="100" w:type="dxa"/>
            </w:tcMar>
          </w:tcPr>
          <w:p w14:paraId="5B03D87F" w14:textId="77777777" w:rsidR="0044292D" w:rsidRDefault="0057687C">
            <w:pPr>
              <w:widowControl w:val="0"/>
              <w:spacing w:line="240" w:lineRule="auto"/>
              <w:jc w:val="center"/>
              <w:rPr>
                <w:sz w:val="18"/>
                <w:szCs w:val="18"/>
              </w:rPr>
            </w:pPr>
            <w:r>
              <w:rPr>
                <w:sz w:val="18"/>
                <w:szCs w:val="18"/>
              </w:rPr>
              <w:t>2.5 / –*</w:t>
            </w:r>
          </w:p>
        </w:tc>
        <w:tc>
          <w:tcPr>
            <w:tcW w:w="1950" w:type="dxa"/>
            <w:shd w:val="clear" w:color="auto" w:fill="auto"/>
            <w:tcMar>
              <w:top w:w="100" w:type="dxa"/>
              <w:left w:w="100" w:type="dxa"/>
              <w:bottom w:w="100" w:type="dxa"/>
              <w:right w:w="100" w:type="dxa"/>
            </w:tcMar>
          </w:tcPr>
          <w:p w14:paraId="3D9571A7" w14:textId="77777777" w:rsidR="0044292D" w:rsidRDefault="0057687C">
            <w:pPr>
              <w:widowControl w:val="0"/>
              <w:spacing w:line="240" w:lineRule="auto"/>
              <w:jc w:val="center"/>
              <w:rPr>
                <w:sz w:val="18"/>
                <w:szCs w:val="18"/>
              </w:rPr>
            </w:pPr>
            <w:r>
              <w:rPr>
                <w:sz w:val="18"/>
                <w:szCs w:val="18"/>
              </w:rPr>
              <w:t>3.5 / –*</w:t>
            </w:r>
          </w:p>
        </w:tc>
        <w:tc>
          <w:tcPr>
            <w:tcW w:w="1965" w:type="dxa"/>
            <w:shd w:val="clear" w:color="auto" w:fill="auto"/>
            <w:tcMar>
              <w:top w:w="100" w:type="dxa"/>
              <w:left w:w="100" w:type="dxa"/>
              <w:bottom w:w="100" w:type="dxa"/>
              <w:right w:w="100" w:type="dxa"/>
            </w:tcMar>
          </w:tcPr>
          <w:p w14:paraId="2935F4A0" w14:textId="77777777" w:rsidR="0044292D" w:rsidRDefault="0057687C">
            <w:pPr>
              <w:widowControl w:val="0"/>
              <w:spacing w:line="240" w:lineRule="auto"/>
              <w:jc w:val="center"/>
              <w:rPr>
                <w:sz w:val="18"/>
                <w:szCs w:val="18"/>
              </w:rPr>
            </w:pPr>
            <w:r>
              <w:rPr>
                <w:sz w:val="18"/>
                <w:szCs w:val="18"/>
              </w:rPr>
              <w:t>2.5 / –*</w:t>
            </w:r>
          </w:p>
        </w:tc>
      </w:tr>
      <w:tr w:rsidR="0044292D" w14:paraId="2C4E289E" w14:textId="77777777" w:rsidTr="0057687C">
        <w:trPr>
          <w:trHeight w:val="20"/>
        </w:trPr>
        <w:tc>
          <w:tcPr>
            <w:tcW w:w="3480" w:type="dxa"/>
            <w:shd w:val="clear" w:color="auto" w:fill="auto"/>
            <w:tcMar>
              <w:top w:w="100" w:type="dxa"/>
              <w:left w:w="100" w:type="dxa"/>
              <w:bottom w:w="100" w:type="dxa"/>
              <w:right w:w="100" w:type="dxa"/>
            </w:tcMar>
          </w:tcPr>
          <w:p w14:paraId="2BA44D8F" w14:textId="77777777" w:rsidR="0044292D" w:rsidRDefault="0057687C">
            <w:pPr>
              <w:widowControl w:val="0"/>
              <w:spacing w:line="240" w:lineRule="auto"/>
              <w:rPr>
                <w:sz w:val="18"/>
                <w:szCs w:val="18"/>
              </w:rPr>
            </w:pPr>
            <w:r>
              <w:rPr>
                <w:sz w:val="18"/>
                <w:szCs w:val="18"/>
              </w:rPr>
              <w:t>Development within 50’ of lot line abutting R district</w:t>
            </w:r>
          </w:p>
        </w:tc>
        <w:tc>
          <w:tcPr>
            <w:tcW w:w="1965" w:type="dxa"/>
            <w:shd w:val="clear" w:color="auto" w:fill="auto"/>
            <w:tcMar>
              <w:top w:w="100" w:type="dxa"/>
              <w:left w:w="100" w:type="dxa"/>
              <w:bottom w:w="100" w:type="dxa"/>
              <w:right w:w="100" w:type="dxa"/>
            </w:tcMar>
          </w:tcPr>
          <w:p w14:paraId="59403267" w14:textId="77777777" w:rsidR="0044292D" w:rsidRDefault="0057687C">
            <w:pPr>
              <w:widowControl w:val="0"/>
              <w:spacing w:line="240" w:lineRule="auto"/>
              <w:jc w:val="center"/>
              <w:rPr>
                <w:sz w:val="18"/>
                <w:szCs w:val="18"/>
              </w:rPr>
            </w:pPr>
            <w:r>
              <w:rPr>
                <w:sz w:val="18"/>
                <w:szCs w:val="18"/>
              </w:rPr>
              <w:t>No Change</w:t>
            </w:r>
          </w:p>
        </w:tc>
        <w:tc>
          <w:tcPr>
            <w:tcW w:w="1950" w:type="dxa"/>
            <w:shd w:val="clear" w:color="auto" w:fill="auto"/>
            <w:tcMar>
              <w:top w:w="100" w:type="dxa"/>
              <w:left w:w="100" w:type="dxa"/>
              <w:bottom w:w="100" w:type="dxa"/>
              <w:right w:w="100" w:type="dxa"/>
            </w:tcMar>
          </w:tcPr>
          <w:p w14:paraId="0EDA6FE3" w14:textId="77777777" w:rsidR="0044292D" w:rsidRDefault="0057687C">
            <w:pPr>
              <w:widowControl w:val="0"/>
              <w:spacing w:line="240" w:lineRule="auto"/>
              <w:jc w:val="center"/>
              <w:rPr>
                <w:sz w:val="18"/>
                <w:szCs w:val="18"/>
              </w:rPr>
            </w:pPr>
            <w:r>
              <w:rPr>
                <w:sz w:val="18"/>
                <w:szCs w:val="18"/>
              </w:rPr>
              <w:t>No Change</w:t>
            </w:r>
          </w:p>
        </w:tc>
        <w:tc>
          <w:tcPr>
            <w:tcW w:w="1965" w:type="dxa"/>
            <w:shd w:val="clear" w:color="auto" w:fill="auto"/>
            <w:tcMar>
              <w:top w:w="100" w:type="dxa"/>
              <w:left w:w="100" w:type="dxa"/>
              <w:bottom w:w="100" w:type="dxa"/>
              <w:right w:w="100" w:type="dxa"/>
            </w:tcMar>
          </w:tcPr>
          <w:p w14:paraId="6D032277" w14:textId="77777777" w:rsidR="0044292D" w:rsidRDefault="0057687C">
            <w:pPr>
              <w:widowControl w:val="0"/>
              <w:spacing w:line="240" w:lineRule="auto"/>
              <w:jc w:val="center"/>
              <w:rPr>
                <w:sz w:val="18"/>
                <w:szCs w:val="18"/>
              </w:rPr>
            </w:pPr>
            <w:r>
              <w:rPr>
                <w:sz w:val="18"/>
                <w:szCs w:val="18"/>
              </w:rPr>
              <w:t>Same as VC2</w:t>
            </w:r>
          </w:p>
        </w:tc>
      </w:tr>
      <w:tr w:rsidR="0044292D" w14:paraId="340619FA" w14:textId="77777777" w:rsidTr="0057687C">
        <w:trPr>
          <w:trHeight w:val="20"/>
        </w:trPr>
        <w:tc>
          <w:tcPr>
            <w:tcW w:w="9360" w:type="dxa"/>
            <w:gridSpan w:val="4"/>
            <w:shd w:val="clear" w:color="auto" w:fill="auto"/>
            <w:tcMar>
              <w:top w:w="100" w:type="dxa"/>
              <w:left w:w="100" w:type="dxa"/>
              <w:bottom w:w="100" w:type="dxa"/>
              <w:right w:w="100" w:type="dxa"/>
            </w:tcMar>
          </w:tcPr>
          <w:p w14:paraId="4D78F2C4" w14:textId="77777777" w:rsidR="0044292D" w:rsidRDefault="0057687C">
            <w:pPr>
              <w:widowControl w:val="0"/>
              <w:spacing w:line="240" w:lineRule="auto"/>
              <w:rPr>
                <w:b/>
                <w:sz w:val="20"/>
                <w:szCs w:val="20"/>
              </w:rPr>
            </w:pPr>
            <w:r>
              <w:rPr>
                <w:b/>
                <w:sz w:val="20"/>
                <w:szCs w:val="20"/>
              </w:rPr>
              <w:t>Pitched Roof, Building Height in Feet (By-Right / Special Permit)</w:t>
            </w:r>
          </w:p>
        </w:tc>
      </w:tr>
      <w:tr w:rsidR="0044292D" w14:paraId="6CEDBA74" w14:textId="77777777">
        <w:tc>
          <w:tcPr>
            <w:tcW w:w="3480" w:type="dxa"/>
            <w:shd w:val="clear" w:color="auto" w:fill="auto"/>
            <w:tcMar>
              <w:top w:w="100" w:type="dxa"/>
              <w:left w:w="100" w:type="dxa"/>
              <w:bottom w:w="100" w:type="dxa"/>
              <w:right w:w="100" w:type="dxa"/>
            </w:tcMar>
          </w:tcPr>
          <w:p w14:paraId="691F5E50" w14:textId="77777777" w:rsidR="0044292D" w:rsidRDefault="0057687C">
            <w:pPr>
              <w:widowControl w:val="0"/>
              <w:spacing w:line="240" w:lineRule="auto"/>
              <w:rPr>
                <w:sz w:val="18"/>
                <w:szCs w:val="18"/>
              </w:rPr>
            </w:pPr>
            <w:r>
              <w:rPr>
                <w:sz w:val="18"/>
                <w:szCs w:val="18"/>
              </w:rPr>
              <w:t>Commercial / Mixed Use</w:t>
            </w:r>
          </w:p>
        </w:tc>
        <w:tc>
          <w:tcPr>
            <w:tcW w:w="1965" w:type="dxa"/>
            <w:shd w:val="clear" w:color="auto" w:fill="auto"/>
            <w:tcMar>
              <w:top w:w="100" w:type="dxa"/>
              <w:left w:w="100" w:type="dxa"/>
              <w:bottom w:w="100" w:type="dxa"/>
              <w:right w:w="100" w:type="dxa"/>
            </w:tcMar>
          </w:tcPr>
          <w:p w14:paraId="737222BD" w14:textId="77777777" w:rsidR="0044292D" w:rsidRDefault="0057687C">
            <w:pPr>
              <w:widowControl w:val="0"/>
              <w:spacing w:line="240" w:lineRule="auto"/>
              <w:jc w:val="center"/>
              <w:rPr>
                <w:sz w:val="18"/>
                <w:szCs w:val="18"/>
              </w:rPr>
            </w:pPr>
            <w:r>
              <w:rPr>
                <w:sz w:val="18"/>
                <w:szCs w:val="18"/>
              </w:rPr>
              <w:t>– / 48’</w:t>
            </w:r>
          </w:p>
        </w:tc>
        <w:tc>
          <w:tcPr>
            <w:tcW w:w="1950" w:type="dxa"/>
            <w:shd w:val="clear" w:color="auto" w:fill="auto"/>
            <w:tcMar>
              <w:top w:w="100" w:type="dxa"/>
              <w:left w:w="100" w:type="dxa"/>
              <w:bottom w:w="100" w:type="dxa"/>
              <w:right w:w="100" w:type="dxa"/>
            </w:tcMar>
          </w:tcPr>
          <w:p w14:paraId="7CAB9A47" w14:textId="77777777" w:rsidR="0044292D" w:rsidRDefault="0057687C">
            <w:pPr>
              <w:widowControl w:val="0"/>
              <w:spacing w:line="240" w:lineRule="auto"/>
              <w:jc w:val="center"/>
              <w:rPr>
                <w:sz w:val="18"/>
                <w:szCs w:val="18"/>
              </w:rPr>
            </w:pPr>
            <w:r>
              <w:rPr>
                <w:sz w:val="18"/>
                <w:szCs w:val="18"/>
              </w:rPr>
              <w:t>62’ / –*</w:t>
            </w:r>
          </w:p>
        </w:tc>
        <w:tc>
          <w:tcPr>
            <w:tcW w:w="1965" w:type="dxa"/>
            <w:shd w:val="clear" w:color="auto" w:fill="auto"/>
            <w:tcMar>
              <w:top w:w="100" w:type="dxa"/>
              <w:left w:w="100" w:type="dxa"/>
              <w:bottom w:w="100" w:type="dxa"/>
              <w:right w:w="100" w:type="dxa"/>
            </w:tcMar>
          </w:tcPr>
          <w:p w14:paraId="5E4A8C1A" w14:textId="77777777" w:rsidR="0044292D" w:rsidRDefault="0057687C">
            <w:pPr>
              <w:widowControl w:val="0"/>
              <w:spacing w:line="240" w:lineRule="auto"/>
              <w:jc w:val="center"/>
              <w:rPr>
                <w:sz w:val="18"/>
                <w:szCs w:val="18"/>
              </w:rPr>
            </w:pPr>
            <w:r>
              <w:rPr>
                <w:sz w:val="18"/>
                <w:szCs w:val="18"/>
              </w:rPr>
              <w:t>75’ / –*</w:t>
            </w:r>
          </w:p>
        </w:tc>
      </w:tr>
      <w:tr w:rsidR="0044292D" w14:paraId="630816F6" w14:textId="77777777">
        <w:tc>
          <w:tcPr>
            <w:tcW w:w="3480" w:type="dxa"/>
            <w:shd w:val="clear" w:color="auto" w:fill="auto"/>
            <w:tcMar>
              <w:top w:w="100" w:type="dxa"/>
              <w:left w:w="100" w:type="dxa"/>
              <w:bottom w:w="100" w:type="dxa"/>
              <w:right w:w="100" w:type="dxa"/>
            </w:tcMar>
          </w:tcPr>
          <w:p w14:paraId="7716DB64" w14:textId="77777777" w:rsidR="0044292D" w:rsidRDefault="0057687C">
            <w:pPr>
              <w:widowControl w:val="0"/>
              <w:spacing w:line="240" w:lineRule="auto"/>
              <w:rPr>
                <w:sz w:val="18"/>
                <w:szCs w:val="18"/>
              </w:rPr>
            </w:pPr>
            <w:r>
              <w:rPr>
                <w:sz w:val="18"/>
                <w:szCs w:val="18"/>
              </w:rPr>
              <w:t>Residential</w:t>
            </w:r>
          </w:p>
        </w:tc>
        <w:tc>
          <w:tcPr>
            <w:tcW w:w="1965" w:type="dxa"/>
            <w:shd w:val="clear" w:color="auto" w:fill="auto"/>
            <w:tcMar>
              <w:top w:w="100" w:type="dxa"/>
              <w:left w:w="100" w:type="dxa"/>
              <w:bottom w:w="100" w:type="dxa"/>
              <w:right w:w="100" w:type="dxa"/>
            </w:tcMar>
          </w:tcPr>
          <w:p w14:paraId="42EB70DB" w14:textId="77777777" w:rsidR="0044292D" w:rsidRDefault="0057687C">
            <w:pPr>
              <w:widowControl w:val="0"/>
              <w:spacing w:line="240" w:lineRule="auto"/>
              <w:jc w:val="center"/>
              <w:rPr>
                <w:sz w:val="18"/>
                <w:szCs w:val="18"/>
                <w:highlight w:val="white"/>
              </w:rPr>
            </w:pPr>
            <w:r>
              <w:rPr>
                <w:sz w:val="18"/>
                <w:szCs w:val="18"/>
                <w:highlight w:val="white"/>
              </w:rPr>
              <w:t>45’ / –</w:t>
            </w:r>
          </w:p>
        </w:tc>
        <w:tc>
          <w:tcPr>
            <w:tcW w:w="1950" w:type="dxa"/>
            <w:shd w:val="clear" w:color="auto" w:fill="auto"/>
            <w:tcMar>
              <w:top w:w="100" w:type="dxa"/>
              <w:left w:w="100" w:type="dxa"/>
              <w:bottom w:w="100" w:type="dxa"/>
              <w:right w:w="100" w:type="dxa"/>
            </w:tcMar>
          </w:tcPr>
          <w:p w14:paraId="5D556031" w14:textId="77777777" w:rsidR="0044292D" w:rsidRDefault="0057687C">
            <w:pPr>
              <w:widowControl w:val="0"/>
              <w:spacing w:line="240" w:lineRule="auto"/>
              <w:jc w:val="center"/>
              <w:rPr>
                <w:sz w:val="18"/>
                <w:szCs w:val="18"/>
                <w:highlight w:val="white"/>
              </w:rPr>
            </w:pPr>
            <w:r>
              <w:rPr>
                <w:sz w:val="18"/>
                <w:szCs w:val="18"/>
                <w:highlight w:val="white"/>
              </w:rPr>
              <w:t>60’ / –*</w:t>
            </w:r>
          </w:p>
        </w:tc>
        <w:tc>
          <w:tcPr>
            <w:tcW w:w="1965" w:type="dxa"/>
            <w:shd w:val="clear" w:color="auto" w:fill="auto"/>
            <w:tcMar>
              <w:top w:w="100" w:type="dxa"/>
              <w:left w:w="100" w:type="dxa"/>
              <w:bottom w:w="100" w:type="dxa"/>
              <w:right w:w="100" w:type="dxa"/>
            </w:tcMar>
          </w:tcPr>
          <w:p w14:paraId="2F582173" w14:textId="77777777" w:rsidR="0044292D" w:rsidRDefault="0057687C">
            <w:pPr>
              <w:widowControl w:val="0"/>
              <w:spacing w:line="240" w:lineRule="auto"/>
              <w:jc w:val="center"/>
              <w:rPr>
                <w:sz w:val="18"/>
                <w:szCs w:val="18"/>
                <w:highlight w:val="white"/>
              </w:rPr>
            </w:pPr>
            <w:r>
              <w:rPr>
                <w:sz w:val="18"/>
                <w:szCs w:val="18"/>
                <w:highlight w:val="white"/>
              </w:rPr>
              <w:t>48’ / –*</w:t>
            </w:r>
          </w:p>
        </w:tc>
      </w:tr>
      <w:tr w:rsidR="0044292D" w14:paraId="261078DB" w14:textId="77777777">
        <w:tc>
          <w:tcPr>
            <w:tcW w:w="3480" w:type="dxa"/>
            <w:shd w:val="clear" w:color="auto" w:fill="auto"/>
            <w:tcMar>
              <w:top w:w="100" w:type="dxa"/>
              <w:left w:w="100" w:type="dxa"/>
              <w:bottom w:w="100" w:type="dxa"/>
              <w:right w:w="100" w:type="dxa"/>
            </w:tcMar>
          </w:tcPr>
          <w:p w14:paraId="4865C192" w14:textId="77777777" w:rsidR="0044292D" w:rsidRDefault="0057687C">
            <w:pPr>
              <w:widowControl w:val="0"/>
              <w:spacing w:line="240" w:lineRule="auto"/>
              <w:rPr>
                <w:sz w:val="18"/>
                <w:szCs w:val="18"/>
              </w:rPr>
            </w:pPr>
            <w:r>
              <w:rPr>
                <w:sz w:val="18"/>
                <w:szCs w:val="18"/>
              </w:rPr>
              <w:t>Development within 50’ of lot line abutting R district</w:t>
            </w:r>
          </w:p>
        </w:tc>
        <w:tc>
          <w:tcPr>
            <w:tcW w:w="1965" w:type="dxa"/>
            <w:shd w:val="clear" w:color="auto" w:fill="auto"/>
            <w:tcMar>
              <w:top w:w="100" w:type="dxa"/>
              <w:left w:w="100" w:type="dxa"/>
              <w:bottom w:w="100" w:type="dxa"/>
              <w:right w:w="100" w:type="dxa"/>
            </w:tcMar>
          </w:tcPr>
          <w:p w14:paraId="02BFCE97" w14:textId="77777777" w:rsidR="0044292D" w:rsidRDefault="0057687C">
            <w:pPr>
              <w:widowControl w:val="0"/>
              <w:spacing w:line="240" w:lineRule="auto"/>
              <w:jc w:val="center"/>
              <w:rPr>
                <w:sz w:val="18"/>
                <w:szCs w:val="18"/>
                <w:highlight w:val="white"/>
              </w:rPr>
            </w:pPr>
            <w:r>
              <w:rPr>
                <w:sz w:val="18"/>
                <w:szCs w:val="18"/>
                <w:highlight w:val="white"/>
              </w:rPr>
              <w:t>No Change</w:t>
            </w:r>
          </w:p>
        </w:tc>
        <w:tc>
          <w:tcPr>
            <w:tcW w:w="1950" w:type="dxa"/>
            <w:shd w:val="clear" w:color="auto" w:fill="auto"/>
            <w:tcMar>
              <w:top w:w="100" w:type="dxa"/>
              <w:left w:w="100" w:type="dxa"/>
              <w:bottom w:w="100" w:type="dxa"/>
              <w:right w:w="100" w:type="dxa"/>
            </w:tcMar>
          </w:tcPr>
          <w:p w14:paraId="13653473" w14:textId="77777777" w:rsidR="0044292D" w:rsidRDefault="0057687C">
            <w:pPr>
              <w:widowControl w:val="0"/>
              <w:spacing w:line="240" w:lineRule="auto"/>
              <w:jc w:val="center"/>
              <w:rPr>
                <w:sz w:val="18"/>
                <w:szCs w:val="18"/>
                <w:highlight w:val="white"/>
              </w:rPr>
            </w:pPr>
            <w:r>
              <w:rPr>
                <w:sz w:val="18"/>
                <w:szCs w:val="18"/>
                <w:highlight w:val="white"/>
              </w:rPr>
              <w:t>No Change</w:t>
            </w:r>
          </w:p>
        </w:tc>
        <w:tc>
          <w:tcPr>
            <w:tcW w:w="1965" w:type="dxa"/>
            <w:shd w:val="clear" w:color="auto" w:fill="auto"/>
            <w:tcMar>
              <w:top w:w="100" w:type="dxa"/>
              <w:left w:w="100" w:type="dxa"/>
              <w:bottom w:w="100" w:type="dxa"/>
              <w:right w:w="100" w:type="dxa"/>
            </w:tcMar>
          </w:tcPr>
          <w:p w14:paraId="2C99DF18" w14:textId="77777777" w:rsidR="0044292D" w:rsidRDefault="0057687C">
            <w:pPr>
              <w:widowControl w:val="0"/>
              <w:spacing w:line="240" w:lineRule="auto"/>
              <w:jc w:val="center"/>
              <w:rPr>
                <w:sz w:val="18"/>
                <w:szCs w:val="18"/>
                <w:highlight w:val="white"/>
              </w:rPr>
            </w:pPr>
            <w:r>
              <w:rPr>
                <w:sz w:val="18"/>
                <w:szCs w:val="18"/>
                <w:highlight w:val="white"/>
              </w:rPr>
              <w:t>Same as VC2</w:t>
            </w:r>
          </w:p>
        </w:tc>
      </w:tr>
      <w:tr w:rsidR="0044292D" w14:paraId="5456A057" w14:textId="77777777">
        <w:tc>
          <w:tcPr>
            <w:tcW w:w="9360" w:type="dxa"/>
            <w:gridSpan w:val="4"/>
            <w:shd w:val="clear" w:color="auto" w:fill="auto"/>
            <w:tcMar>
              <w:top w:w="100" w:type="dxa"/>
              <w:left w:w="100" w:type="dxa"/>
              <w:bottom w:w="100" w:type="dxa"/>
              <w:right w:w="100" w:type="dxa"/>
            </w:tcMar>
          </w:tcPr>
          <w:p w14:paraId="60F93AEE" w14:textId="77777777" w:rsidR="0044292D" w:rsidRDefault="0057687C">
            <w:pPr>
              <w:widowControl w:val="0"/>
              <w:spacing w:line="240" w:lineRule="auto"/>
              <w:rPr>
                <w:b/>
                <w:sz w:val="20"/>
                <w:szCs w:val="20"/>
              </w:rPr>
            </w:pPr>
            <w:r>
              <w:rPr>
                <w:b/>
                <w:sz w:val="20"/>
                <w:szCs w:val="20"/>
              </w:rPr>
              <w:t>Flat Roof, Building Height in Feet (By-Right / Special Permit)</w:t>
            </w:r>
          </w:p>
        </w:tc>
      </w:tr>
      <w:tr w:rsidR="0044292D" w14:paraId="22C2ABC1" w14:textId="77777777">
        <w:tc>
          <w:tcPr>
            <w:tcW w:w="3480" w:type="dxa"/>
            <w:shd w:val="clear" w:color="auto" w:fill="auto"/>
            <w:tcMar>
              <w:top w:w="100" w:type="dxa"/>
              <w:left w:w="100" w:type="dxa"/>
              <w:bottom w:w="100" w:type="dxa"/>
              <w:right w:w="100" w:type="dxa"/>
            </w:tcMar>
          </w:tcPr>
          <w:p w14:paraId="1A520851" w14:textId="77777777" w:rsidR="0044292D" w:rsidRDefault="0057687C">
            <w:pPr>
              <w:widowControl w:val="0"/>
              <w:spacing w:line="240" w:lineRule="auto"/>
              <w:rPr>
                <w:sz w:val="18"/>
                <w:szCs w:val="18"/>
              </w:rPr>
            </w:pPr>
            <w:r>
              <w:rPr>
                <w:sz w:val="18"/>
                <w:szCs w:val="18"/>
              </w:rPr>
              <w:t>Commercial / Mixed Use</w:t>
            </w:r>
          </w:p>
        </w:tc>
        <w:tc>
          <w:tcPr>
            <w:tcW w:w="1965" w:type="dxa"/>
            <w:shd w:val="clear" w:color="auto" w:fill="auto"/>
            <w:tcMar>
              <w:top w:w="100" w:type="dxa"/>
              <w:left w:w="100" w:type="dxa"/>
              <w:bottom w:w="100" w:type="dxa"/>
              <w:right w:w="100" w:type="dxa"/>
            </w:tcMar>
          </w:tcPr>
          <w:p w14:paraId="5815D5AE" w14:textId="77777777" w:rsidR="0044292D" w:rsidRDefault="0057687C">
            <w:pPr>
              <w:widowControl w:val="0"/>
              <w:spacing w:line="240" w:lineRule="auto"/>
              <w:jc w:val="center"/>
              <w:rPr>
                <w:sz w:val="18"/>
                <w:szCs w:val="18"/>
                <w:highlight w:val="white"/>
              </w:rPr>
            </w:pPr>
            <w:r>
              <w:rPr>
                <w:sz w:val="18"/>
                <w:szCs w:val="18"/>
                <w:highlight w:val="white"/>
              </w:rPr>
              <w:t>– / 42’</w:t>
            </w:r>
          </w:p>
        </w:tc>
        <w:tc>
          <w:tcPr>
            <w:tcW w:w="1950" w:type="dxa"/>
            <w:shd w:val="clear" w:color="auto" w:fill="auto"/>
            <w:tcMar>
              <w:top w:w="100" w:type="dxa"/>
              <w:left w:w="100" w:type="dxa"/>
              <w:bottom w:w="100" w:type="dxa"/>
              <w:right w:w="100" w:type="dxa"/>
            </w:tcMar>
          </w:tcPr>
          <w:p w14:paraId="58B34E46" w14:textId="77777777" w:rsidR="0044292D" w:rsidRDefault="0057687C">
            <w:pPr>
              <w:widowControl w:val="0"/>
              <w:spacing w:line="240" w:lineRule="auto"/>
              <w:jc w:val="center"/>
              <w:rPr>
                <w:sz w:val="18"/>
                <w:szCs w:val="18"/>
                <w:highlight w:val="white"/>
              </w:rPr>
            </w:pPr>
            <w:r>
              <w:rPr>
                <w:sz w:val="18"/>
                <w:szCs w:val="18"/>
                <w:highlight w:val="white"/>
              </w:rPr>
              <w:t>56’ / –*</w:t>
            </w:r>
          </w:p>
        </w:tc>
        <w:tc>
          <w:tcPr>
            <w:tcW w:w="1965" w:type="dxa"/>
            <w:shd w:val="clear" w:color="auto" w:fill="auto"/>
            <w:tcMar>
              <w:top w:w="100" w:type="dxa"/>
              <w:left w:w="100" w:type="dxa"/>
              <w:bottom w:w="100" w:type="dxa"/>
              <w:right w:w="100" w:type="dxa"/>
            </w:tcMar>
          </w:tcPr>
          <w:p w14:paraId="71CEBA01" w14:textId="77777777" w:rsidR="0044292D" w:rsidRDefault="0057687C">
            <w:pPr>
              <w:widowControl w:val="0"/>
              <w:spacing w:line="240" w:lineRule="auto"/>
              <w:jc w:val="center"/>
              <w:rPr>
                <w:sz w:val="18"/>
                <w:szCs w:val="18"/>
                <w:highlight w:val="white"/>
              </w:rPr>
            </w:pPr>
            <w:r>
              <w:rPr>
                <w:sz w:val="18"/>
                <w:szCs w:val="18"/>
                <w:highlight w:val="white"/>
              </w:rPr>
              <w:t>69’ / –*</w:t>
            </w:r>
          </w:p>
        </w:tc>
      </w:tr>
      <w:tr w:rsidR="0044292D" w14:paraId="726A9E3D" w14:textId="77777777">
        <w:tc>
          <w:tcPr>
            <w:tcW w:w="3480" w:type="dxa"/>
            <w:shd w:val="clear" w:color="auto" w:fill="auto"/>
            <w:tcMar>
              <w:top w:w="100" w:type="dxa"/>
              <w:left w:w="100" w:type="dxa"/>
              <w:bottom w:w="100" w:type="dxa"/>
              <w:right w:w="100" w:type="dxa"/>
            </w:tcMar>
          </w:tcPr>
          <w:p w14:paraId="2143DA77" w14:textId="77777777" w:rsidR="0044292D" w:rsidRDefault="0057687C">
            <w:pPr>
              <w:widowControl w:val="0"/>
              <w:spacing w:line="240" w:lineRule="auto"/>
              <w:rPr>
                <w:sz w:val="18"/>
                <w:szCs w:val="18"/>
              </w:rPr>
            </w:pPr>
            <w:r>
              <w:rPr>
                <w:sz w:val="18"/>
                <w:szCs w:val="18"/>
              </w:rPr>
              <w:t>Residential</w:t>
            </w:r>
          </w:p>
        </w:tc>
        <w:tc>
          <w:tcPr>
            <w:tcW w:w="1965" w:type="dxa"/>
            <w:shd w:val="clear" w:color="auto" w:fill="auto"/>
            <w:tcMar>
              <w:top w:w="100" w:type="dxa"/>
              <w:left w:w="100" w:type="dxa"/>
              <w:bottom w:w="100" w:type="dxa"/>
              <w:right w:w="100" w:type="dxa"/>
            </w:tcMar>
          </w:tcPr>
          <w:p w14:paraId="4320C86B" w14:textId="77777777" w:rsidR="0044292D" w:rsidRDefault="0057687C">
            <w:pPr>
              <w:widowControl w:val="0"/>
              <w:spacing w:line="240" w:lineRule="auto"/>
              <w:jc w:val="center"/>
              <w:rPr>
                <w:sz w:val="18"/>
                <w:szCs w:val="18"/>
                <w:highlight w:val="white"/>
              </w:rPr>
            </w:pPr>
            <w:r>
              <w:rPr>
                <w:sz w:val="18"/>
                <w:szCs w:val="18"/>
                <w:highlight w:val="white"/>
              </w:rPr>
              <w:t>39’ / –</w:t>
            </w:r>
          </w:p>
        </w:tc>
        <w:tc>
          <w:tcPr>
            <w:tcW w:w="1950" w:type="dxa"/>
            <w:shd w:val="clear" w:color="auto" w:fill="auto"/>
            <w:tcMar>
              <w:top w:w="100" w:type="dxa"/>
              <w:left w:w="100" w:type="dxa"/>
              <w:bottom w:w="100" w:type="dxa"/>
              <w:right w:w="100" w:type="dxa"/>
            </w:tcMar>
          </w:tcPr>
          <w:p w14:paraId="5BB58BC2" w14:textId="77777777" w:rsidR="0044292D" w:rsidRDefault="0057687C">
            <w:pPr>
              <w:widowControl w:val="0"/>
              <w:spacing w:line="240" w:lineRule="auto"/>
              <w:jc w:val="center"/>
              <w:rPr>
                <w:sz w:val="18"/>
                <w:szCs w:val="18"/>
                <w:highlight w:val="white"/>
              </w:rPr>
            </w:pPr>
            <w:r>
              <w:rPr>
                <w:sz w:val="18"/>
                <w:szCs w:val="18"/>
                <w:highlight w:val="white"/>
              </w:rPr>
              <w:t>54’ / –*</w:t>
            </w:r>
          </w:p>
        </w:tc>
        <w:tc>
          <w:tcPr>
            <w:tcW w:w="1965" w:type="dxa"/>
            <w:shd w:val="clear" w:color="auto" w:fill="auto"/>
            <w:tcMar>
              <w:top w:w="100" w:type="dxa"/>
              <w:left w:w="100" w:type="dxa"/>
              <w:bottom w:w="100" w:type="dxa"/>
              <w:right w:w="100" w:type="dxa"/>
            </w:tcMar>
          </w:tcPr>
          <w:p w14:paraId="5EBF77FA" w14:textId="77777777" w:rsidR="0044292D" w:rsidRDefault="0057687C">
            <w:pPr>
              <w:widowControl w:val="0"/>
              <w:spacing w:line="240" w:lineRule="auto"/>
              <w:jc w:val="center"/>
              <w:rPr>
                <w:sz w:val="18"/>
                <w:szCs w:val="18"/>
                <w:highlight w:val="white"/>
              </w:rPr>
            </w:pPr>
            <w:r>
              <w:rPr>
                <w:sz w:val="18"/>
                <w:szCs w:val="18"/>
                <w:highlight w:val="white"/>
              </w:rPr>
              <w:t>42’ / –*</w:t>
            </w:r>
          </w:p>
        </w:tc>
      </w:tr>
      <w:tr w:rsidR="0044292D" w14:paraId="765D378D" w14:textId="77777777" w:rsidTr="0057687C">
        <w:trPr>
          <w:trHeight w:val="87"/>
        </w:trPr>
        <w:tc>
          <w:tcPr>
            <w:tcW w:w="3480" w:type="dxa"/>
            <w:shd w:val="clear" w:color="auto" w:fill="auto"/>
            <w:tcMar>
              <w:top w:w="100" w:type="dxa"/>
              <w:left w:w="100" w:type="dxa"/>
              <w:bottom w:w="100" w:type="dxa"/>
              <w:right w:w="100" w:type="dxa"/>
            </w:tcMar>
          </w:tcPr>
          <w:p w14:paraId="7F4583FD" w14:textId="77777777" w:rsidR="0044292D" w:rsidRDefault="0057687C">
            <w:pPr>
              <w:widowControl w:val="0"/>
              <w:spacing w:line="240" w:lineRule="auto"/>
              <w:rPr>
                <w:sz w:val="18"/>
                <w:szCs w:val="18"/>
              </w:rPr>
            </w:pPr>
            <w:r>
              <w:rPr>
                <w:sz w:val="18"/>
                <w:szCs w:val="18"/>
              </w:rPr>
              <w:t>Development within 50’ of lot line abutting R district</w:t>
            </w:r>
          </w:p>
        </w:tc>
        <w:tc>
          <w:tcPr>
            <w:tcW w:w="1965" w:type="dxa"/>
            <w:shd w:val="clear" w:color="auto" w:fill="auto"/>
            <w:tcMar>
              <w:top w:w="100" w:type="dxa"/>
              <w:left w:w="100" w:type="dxa"/>
              <w:bottom w:w="100" w:type="dxa"/>
              <w:right w:w="100" w:type="dxa"/>
            </w:tcMar>
          </w:tcPr>
          <w:p w14:paraId="28E58E9A" w14:textId="77777777" w:rsidR="0044292D" w:rsidRDefault="0057687C">
            <w:pPr>
              <w:widowControl w:val="0"/>
              <w:spacing w:line="240" w:lineRule="auto"/>
              <w:jc w:val="center"/>
              <w:rPr>
                <w:sz w:val="18"/>
                <w:szCs w:val="18"/>
                <w:highlight w:val="white"/>
              </w:rPr>
            </w:pPr>
            <w:r>
              <w:rPr>
                <w:sz w:val="18"/>
                <w:szCs w:val="18"/>
                <w:highlight w:val="white"/>
              </w:rPr>
              <w:t>No Change</w:t>
            </w:r>
          </w:p>
        </w:tc>
        <w:tc>
          <w:tcPr>
            <w:tcW w:w="1950" w:type="dxa"/>
            <w:shd w:val="clear" w:color="auto" w:fill="auto"/>
            <w:tcMar>
              <w:top w:w="100" w:type="dxa"/>
              <w:left w:w="100" w:type="dxa"/>
              <w:bottom w:w="100" w:type="dxa"/>
              <w:right w:w="100" w:type="dxa"/>
            </w:tcMar>
          </w:tcPr>
          <w:p w14:paraId="099C7002" w14:textId="77777777" w:rsidR="0044292D" w:rsidRDefault="0057687C">
            <w:pPr>
              <w:widowControl w:val="0"/>
              <w:spacing w:line="240" w:lineRule="auto"/>
              <w:jc w:val="center"/>
              <w:rPr>
                <w:sz w:val="18"/>
                <w:szCs w:val="18"/>
                <w:highlight w:val="white"/>
              </w:rPr>
            </w:pPr>
            <w:r>
              <w:rPr>
                <w:sz w:val="18"/>
                <w:szCs w:val="18"/>
                <w:highlight w:val="white"/>
              </w:rPr>
              <w:t>No Change</w:t>
            </w:r>
          </w:p>
        </w:tc>
        <w:tc>
          <w:tcPr>
            <w:tcW w:w="1965" w:type="dxa"/>
            <w:shd w:val="clear" w:color="auto" w:fill="auto"/>
            <w:tcMar>
              <w:top w:w="100" w:type="dxa"/>
              <w:left w:w="100" w:type="dxa"/>
              <w:bottom w:w="100" w:type="dxa"/>
              <w:right w:w="100" w:type="dxa"/>
            </w:tcMar>
          </w:tcPr>
          <w:p w14:paraId="5181A9D5" w14:textId="77777777" w:rsidR="0044292D" w:rsidRDefault="0057687C">
            <w:pPr>
              <w:widowControl w:val="0"/>
              <w:spacing w:line="240" w:lineRule="auto"/>
              <w:jc w:val="center"/>
              <w:rPr>
                <w:sz w:val="18"/>
                <w:szCs w:val="18"/>
                <w:highlight w:val="white"/>
              </w:rPr>
            </w:pPr>
            <w:r>
              <w:rPr>
                <w:sz w:val="18"/>
                <w:szCs w:val="18"/>
                <w:highlight w:val="white"/>
              </w:rPr>
              <w:t>Same as VC2</w:t>
            </w:r>
          </w:p>
        </w:tc>
      </w:tr>
      <w:tr w:rsidR="0044292D" w14:paraId="51E3AB61" w14:textId="77777777" w:rsidTr="0057687C">
        <w:trPr>
          <w:trHeight w:val="20"/>
        </w:trPr>
        <w:tc>
          <w:tcPr>
            <w:tcW w:w="9360" w:type="dxa"/>
            <w:gridSpan w:val="4"/>
            <w:tcMar>
              <w:top w:w="100" w:type="dxa"/>
              <w:left w:w="100" w:type="dxa"/>
              <w:bottom w:w="100" w:type="dxa"/>
              <w:right w:w="100" w:type="dxa"/>
            </w:tcMar>
          </w:tcPr>
          <w:p w14:paraId="712920FE" w14:textId="77777777" w:rsidR="0044292D" w:rsidRDefault="0057687C">
            <w:pPr>
              <w:widowControl w:val="0"/>
              <w:spacing w:line="240" w:lineRule="auto"/>
              <w:rPr>
                <w:b/>
                <w:sz w:val="20"/>
                <w:szCs w:val="20"/>
              </w:rPr>
            </w:pPr>
            <w:r>
              <w:rPr>
                <w:b/>
                <w:sz w:val="20"/>
                <w:szCs w:val="20"/>
                <w:highlight w:val="white"/>
              </w:rPr>
              <w:t>Ground Story Height in Feet (min./max.)</w:t>
            </w:r>
          </w:p>
        </w:tc>
      </w:tr>
      <w:tr w:rsidR="0044292D" w14:paraId="0C0E1A17" w14:textId="77777777">
        <w:trPr>
          <w:trHeight w:val="380"/>
        </w:trPr>
        <w:tc>
          <w:tcPr>
            <w:tcW w:w="3480" w:type="dxa"/>
            <w:shd w:val="clear" w:color="auto" w:fill="auto"/>
            <w:tcMar>
              <w:top w:w="100" w:type="dxa"/>
              <w:left w:w="100" w:type="dxa"/>
              <w:bottom w:w="100" w:type="dxa"/>
              <w:right w:w="100" w:type="dxa"/>
            </w:tcMar>
          </w:tcPr>
          <w:p w14:paraId="263292DD" w14:textId="77777777" w:rsidR="0044292D" w:rsidRDefault="0057687C">
            <w:pPr>
              <w:widowControl w:val="0"/>
              <w:spacing w:line="240" w:lineRule="auto"/>
              <w:rPr>
                <w:sz w:val="18"/>
                <w:szCs w:val="18"/>
              </w:rPr>
            </w:pPr>
            <w:r>
              <w:rPr>
                <w:sz w:val="18"/>
                <w:szCs w:val="18"/>
              </w:rPr>
              <w:t>Commercial / Mixed Use</w:t>
            </w:r>
          </w:p>
        </w:tc>
        <w:tc>
          <w:tcPr>
            <w:tcW w:w="5880" w:type="dxa"/>
            <w:gridSpan w:val="3"/>
            <w:shd w:val="clear" w:color="auto" w:fill="auto"/>
            <w:tcMar>
              <w:top w:w="100" w:type="dxa"/>
              <w:left w:w="100" w:type="dxa"/>
              <w:bottom w:w="100" w:type="dxa"/>
              <w:right w:w="100" w:type="dxa"/>
            </w:tcMar>
          </w:tcPr>
          <w:p w14:paraId="7D38EDF7" w14:textId="77777777" w:rsidR="0044292D" w:rsidRDefault="0057687C">
            <w:pPr>
              <w:widowControl w:val="0"/>
              <w:spacing w:line="240" w:lineRule="auto"/>
              <w:jc w:val="center"/>
              <w:rPr>
                <w:sz w:val="18"/>
                <w:szCs w:val="18"/>
              </w:rPr>
            </w:pPr>
            <w:r>
              <w:rPr>
                <w:sz w:val="18"/>
                <w:szCs w:val="18"/>
              </w:rPr>
              <w:t>15’ / 18’</w:t>
            </w:r>
          </w:p>
        </w:tc>
      </w:tr>
      <w:tr w:rsidR="0044292D" w14:paraId="04912B32" w14:textId="77777777">
        <w:tc>
          <w:tcPr>
            <w:tcW w:w="3480" w:type="dxa"/>
            <w:shd w:val="clear" w:color="auto" w:fill="auto"/>
            <w:tcMar>
              <w:top w:w="100" w:type="dxa"/>
              <w:left w:w="100" w:type="dxa"/>
              <w:bottom w:w="100" w:type="dxa"/>
              <w:right w:w="100" w:type="dxa"/>
            </w:tcMar>
          </w:tcPr>
          <w:p w14:paraId="140B937D" w14:textId="77777777" w:rsidR="0044292D" w:rsidRDefault="0057687C">
            <w:pPr>
              <w:widowControl w:val="0"/>
              <w:spacing w:line="240" w:lineRule="auto"/>
              <w:rPr>
                <w:sz w:val="18"/>
                <w:szCs w:val="18"/>
              </w:rPr>
            </w:pPr>
            <w:r>
              <w:rPr>
                <w:sz w:val="18"/>
                <w:szCs w:val="18"/>
              </w:rPr>
              <w:t>Residential</w:t>
            </w:r>
          </w:p>
        </w:tc>
        <w:tc>
          <w:tcPr>
            <w:tcW w:w="1965" w:type="dxa"/>
            <w:shd w:val="clear" w:color="auto" w:fill="auto"/>
            <w:tcMar>
              <w:top w:w="100" w:type="dxa"/>
              <w:left w:w="100" w:type="dxa"/>
              <w:bottom w:w="100" w:type="dxa"/>
              <w:right w:w="100" w:type="dxa"/>
            </w:tcMar>
          </w:tcPr>
          <w:p w14:paraId="1B25DF8E" w14:textId="77777777" w:rsidR="0044292D" w:rsidRDefault="0057687C">
            <w:pPr>
              <w:widowControl w:val="0"/>
              <w:spacing w:line="240" w:lineRule="auto"/>
              <w:jc w:val="center"/>
              <w:rPr>
                <w:sz w:val="18"/>
                <w:szCs w:val="18"/>
              </w:rPr>
            </w:pPr>
            <w:r>
              <w:rPr>
                <w:sz w:val="18"/>
                <w:szCs w:val="18"/>
              </w:rPr>
              <w:t>12’ / 15’</w:t>
            </w:r>
          </w:p>
        </w:tc>
        <w:tc>
          <w:tcPr>
            <w:tcW w:w="1950" w:type="dxa"/>
            <w:shd w:val="clear" w:color="auto" w:fill="auto"/>
            <w:tcMar>
              <w:top w:w="100" w:type="dxa"/>
              <w:left w:w="100" w:type="dxa"/>
              <w:bottom w:w="100" w:type="dxa"/>
              <w:right w:w="100" w:type="dxa"/>
            </w:tcMar>
          </w:tcPr>
          <w:p w14:paraId="16FE0675" w14:textId="77777777" w:rsidR="0044292D" w:rsidRDefault="0057687C">
            <w:pPr>
              <w:widowControl w:val="0"/>
              <w:spacing w:line="240" w:lineRule="auto"/>
              <w:jc w:val="center"/>
              <w:rPr>
                <w:sz w:val="18"/>
                <w:szCs w:val="18"/>
              </w:rPr>
            </w:pPr>
            <w:r>
              <w:rPr>
                <w:sz w:val="18"/>
                <w:szCs w:val="18"/>
              </w:rPr>
              <w:t>12’ / 18’</w:t>
            </w:r>
          </w:p>
        </w:tc>
        <w:tc>
          <w:tcPr>
            <w:tcW w:w="1965" w:type="dxa"/>
            <w:shd w:val="clear" w:color="auto" w:fill="auto"/>
            <w:tcMar>
              <w:top w:w="100" w:type="dxa"/>
              <w:left w:w="100" w:type="dxa"/>
              <w:bottom w:w="100" w:type="dxa"/>
              <w:right w:w="100" w:type="dxa"/>
            </w:tcMar>
          </w:tcPr>
          <w:p w14:paraId="2A4A6F00" w14:textId="77777777" w:rsidR="0044292D" w:rsidRDefault="0057687C">
            <w:pPr>
              <w:widowControl w:val="0"/>
              <w:spacing w:line="240" w:lineRule="auto"/>
              <w:jc w:val="center"/>
              <w:rPr>
                <w:sz w:val="18"/>
                <w:szCs w:val="18"/>
              </w:rPr>
            </w:pPr>
            <w:r>
              <w:rPr>
                <w:sz w:val="18"/>
                <w:szCs w:val="18"/>
              </w:rPr>
              <w:t>12’ / 18’</w:t>
            </w:r>
          </w:p>
        </w:tc>
      </w:tr>
      <w:tr w:rsidR="0044292D" w14:paraId="47476316" w14:textId="77777777">
        <w:tc>
          <w:tcPr>
            <w:tcW w:w="9360" w:type="dxa"/>
            <w:gridSpan w:val="4"/>
            <w:tcMar>
              <w:top w:w="100" w:type="dxa"/>
              <w:left w:w="100" w:type="dxa"/>
              <w:bottom w:w="100" w:type="dxa"/>
              <w:right w:w="100" w:type="dxa"/>
            </w:tcMar>
          </w:tcPr>
          <w:p w14:paraId="5032C89F" w14:textId="77777777" w:rsidR="0044292D" w:rsidRDefault="0057687C">
            <w:pPr>
              <w:widowControl w:val="0"/>
              <w:spacing w:line="240" w:lineRule="auto"/>
              <w:rPr>
                <w:b/>
                <w:sz w:val="20"/>
                <w:szCs w:val="20"/>
              </w:rPr>
            </w:pPr>
            <w:r>
              <w:rPr>
                <w:b/>
                <w:sz w:val="20"/>
                <w:szCs w:val="20"/>
                <w:highlight w:val="white"/>
              </w:rPr>
              <w:t>Half-Story Height in Feet (max.)</w:t>
            </w:r>
          </w:p>
        </w:tc>
      </w:tr>
      <w:tr w:rsidR="0044292D" w14:paraId="0D089C1C" w14:textId="77777777" w:rsidTr="0057687C">
        <w:trPr>
          <w:trHeight w:val="20"/>
        </w:trPr>
        <w:tc>
          <w:tcPr>
            <w:tcW w:w="3480" w:type="dxa"/>
            <w:shd w:val="clear" w:color="auto" w:fill="auto"/>
            <w:tcMar>
              <w:top w:w="100" w:type="dxa"/>
              <w:left w:w="100" w:type="dxa"/>
              <w:bottom w:w="100" w:type="dxa"/>
              <w:right w:w="100" w:type="dxa"/>
            </w:tcMar>
          </w:tcPr>
          <w:p w14:paraId="18B12F57" w14:textId="77777777" w:rsidR="0044292D" w:rsidRDefault="0057687C">
            <w:pPr>
              <w:widowControl w:val="0"/>
              <w:spacing w:line="240" w:lineRule="auto"/>
              <w:rPr>
                <w:sz w:val="18"/>
                <w:szCs w:val="18"/>
              </w:rPr>
            </w:pPr>
            <w:r>
              <w:rPr>
                <w:sz w:val="18"/>
                <w:szCs w:val="18"/>
              </w:rPr>
              <w:t>Flat Roof</w:t>
            </w:r>
          </w:p>
        </w:tc>
        <w:tc>
          <w:tcPr>
            <w:tcW w:w="5880" w:type="dxa"/>
            <w:gridSpan w:val="3"/>
            <w:shd w:val="clear" w:color="auto" w:fill="auto"/>
            <w:tcMar>
              <w:top w:w="100" w:type="dxa"/>
              <w:left w:w="100" w:type="dxa"/>
              <w:bottom w:w="100" w:type="dxa"/>
              <w:right w:w="100" w:type="dxa"/>
            </w:tcMar>
          </w:tcPr>
          <w:p w14:paraId="6071E91B" w14:textId="77777777" w:rsidR="0044292D" w:rsidRDefault="0057687C">
            <w:pPr>
              <w:widowControl w:val="0"/>
              <w:spacing w:line="240" w:lineRule="auto"/>
              <w:jc w:val="center"/>
              <w:rPr>
                <w:sz w:val="18"/>
                <w:szCs w:val="18"/>
              </w:rPr>
            </w:pPr>
            <w:r>
              <w:rPr>
                <w:sz w:val="18"/>
                <w:szCs w:val="18"/>
              </w:rPr>
              <w:t>12’</w:t>
            </w:r>
          </w:p>
        </w:tc>
      </w:tr>
      <w:tr w:rsidR="0044292D" w14:paraId="52F0A016" w14:textId="77777777" w:rsidTr="0057687C">
        <w:trPr>
          <w:trHeight w:val="20"/>
        </w:trPr>
        <w:tc>
          <w:tcPr>
            <w:tcW w:w="3480" w:type="dxa"/>
            <w:shd w:val="clear" w:color="auto" w:fill="auto"/>
            <w:tcMar>
              <w:top w:w="100" w:type="dxa"/>
              <w:left w:w="100" w:type="dxa"/>
              <w:bottom w:w="100" w:type="dxa"/>
              <w:right w:w="100" w:type="dxa"/>
            </w:tcMar>
          </w:tcPr>
          <w:p w14:paraId="1E5995D9" w14:textId="77777777" w:rsidR="0044292D" w:rsidRDefault="0057687C">
            <w:pPr>
              <w:widowControl w:val="0"/>
              <w:spacing w:line="240" w:lineRule="auto"/>
              <w:rPr>
                <w:sz w:val="18"/>
                <w:szCs w:val="18"/>
              </w:rPr>
            </w:pPr>
            <w:r>
              <w:rPr>
                <w:sz w:val="18"/>
                <w:szCs w:val="18"/>
              </w:rPr>
              <w:t>Pitched Roof</w:t>
            </w:r>
          </w:p>
        </w:tc>
        <w:tc>
          <w:tcPr>
            <w:tcW w:w="5880" w:type="dxa"/>
            <w:gridSpan w:val="3"/>
            <w:shd w:val="clear" w:color="auto" w:fill="auto"/>
            <w:tcMar>
              <w:top w:w="100" w:type="dxa"/>
              <w:left w:w="100" w:type="dxa"/>
              <w:bottom w:w="100" w:type="dxa"/>
              <w:right w:w="100" w:type="dxa"/>
            </w:tcMar>
          </w:tcPr>
          <w:p w14:paraId="6DD657BB" w14:textId="77777777" w:rsidR="0044292D" w:rsidRDefault="0057687C">
            <w:pPr>
              <w:widowControl w:val="0"/>
              <w:spacing w:line="240" w:lineRule="auto"/>
              <w:jc w:val="center"/>
              <w:rPr>
                <w:sz w:val="18"/>
                <w:szCs w:val="18"/>
              </w:rPr>
            </w:pPr>
            <w:r>
              <w:rPr>
                <w:sz w:val="18"/>
                <w:szCs w:val="18"/>
              </w:rPr>
              <w:t>18’</w:t>
            </w:r>
          </w:p>
        </w:tc>
      </w:tr>
      <w:tr w:rsidR="0044292D" w14:paraId="7BFFFDC1" w14:textId="77777777" w:rsidTr="0057687C">
        <w:trPr>
          <w:trHeight w:val="20"/>
        </w:trPr>
        <w:tc>
          <w:tcPr>
            <w:tcW w:w="9360" w:type="dxa"/>
            <w:gridSpan w:val="4"/>
            <w:tcMar>
              <w:top w:w="100" w:type="dxa"/>
              <w:left w:w="100" w:type="dxa"/>
              <w:bottom w:w="100" w:type="dxa"/>
              <w:right w:w="100" w:type="dxa"/>
            </w:tcMar>
          </w:tcPr>
          <w:p w14:paraId="743A4F45" w14:textId="77777777" w:rsidR="0044292D" w:rsidRDefault="0057687C">
            <w:pPr>
              <w:widowControl w:val="0"/>
              <w:spacing w:line="240" w:lineRule="auto"/>
              <w:rPr>
                <w:b/>
                <w:sz w:val="20"/>
                <w:szCs w:val="20"/>
              </w:rPr>
            </w:pPr>
            <w:r>
              <w:rPr>
                <w:b/>
                <w:sz w:val="20"/>
                <w:szCs w:val="20"/>
                <w:highlight w:val="white"/>
              </w:rPr>
              <w:t>Half-Story Step-Back in Feet (min.)</w:t>
            </w:r>
          </w:p>
        </w:tc>
      </w:tr>
      <w:tr w:rsidR="0044292D" w14:paraId="564CE4F5" w14:textId="77777777" w:rsidTr="0057687C">
        <w:trPr>
          <w:trHeight w:val="20"/>
        </w:trPr>
        <w:tc>
          <w:tcPr>
            <w:tcW w:w="3480" w:type="dxa"/>
            <w:shd w:val="clear" w:color="auto" w:fill="auto"/>
            <w:tcMar>
              <w:top w:w="100" w:type="dxa"/>
              <w:left w:w="100" w:type="dxa"/>
              <w:bottom w:w="100" w:type="dxa"/>
              <w:right w:w="100" w:type="dxa"/>
            </w:tcMar>
          </w:tcPr>
          <w:p w14:paraId="26B6C056" w14:textId="77777777" w:rsidR="0044292D" w:rsidRDefault="0057687C">
            <w:pPr>
              <w:widowControl w:val="0"/>
              <w:spacing w:line="240" w:lineRule="auto"/>
              <w:rPr>
                <w:sz w:val="18"/>
                <w:szCs w:val="18"/>
              </w:rPr>
            </w:pPr>
            <w:r>
              <w:rPr>
                <w:sz w:val="18"/>
                <w:szCs w:val="18"/>
              </w:rPr>
              <w:t>Flat Roof</w:t>
            </w:r>
          </w:p>
        </w:tc>
        <w:tc>
          <w:tcPr>
            <w:tcW w:w="5880" w:type="dxa"/>
            <w:gridSpan w:val="3"/>
            <w:shd w:val="clear" w:color="auto" w:fill="auto"/>
            <w:tcMar>
              <w:top w:w="100" w:type="dxa"/>
              <w:left w:w="100" w:type="dxa"/>
              <w:bottom w:w="100" w:type="dxa"/>
              <w:right w:w="100" w:type="dxa"/>
            </w:tcMar>
          </w:tcPr>
          <w:p w14:paraId="4BFD7A62" w14:textId="77777777" w:rsidR="0044292D" w:rsidRDefault="0057687C">
            <w:pPr>
              <w:widowControl w:val="0"/>
              <w:spacing w:line="240" w:lineRule="auto"/>
              <w:jc w:val="center"/>
              <w:rPr>
                <w:sz w:val="18"/>
                <w:szCs w:val="18"/>
              </w:rPr>
            </w:pPr>
            <w:r>
              <w:rPr>
                <w:sz w:val="18"/>
                <w:szCs w:val="18"/>
              </w:rPr>
              <w:t>7’ along all Lot Lines, see Sec. 2.</w:t>
            </w:r>
            <w:proofErr w:type="gramStart"/>
            <w:r>
              <w:rPr>
                <w:sz w:val="18"/>
                <w:szCs w:val="18"/>
              </w:rPr>
              <w:t>6.B.</w:t>
            </w:r>
            <w:proofErr w:type="gramEnd"/>
            <w:r>
              <w:rPr>
                <w:sz w:val="18"/>
                <w:szCs w:val="18"/>
              </w:rPr>
              <w:t>4.</w:t>
            </w:r>
          </w:p>
        </w:tc>
      </w:tr>
      <w:tr w:rsidR="0044292D" w14:paraId="5E1C968F" w14:textId="77777777" w:rsidTr="0057687C">
        <w:trPr>
          <w:trHeight w:val="20"/>
        </w:trPr>
        <w:tc>
          <w:tcPr>
            <w:tcW w:w="3480" w:type="dxa"/>
            <w:shd w:val="clear" w:color="auto" w:fill="auto"/>
            <w:tcMar>
              <w:top w:w="100" w:type="dxa"/>
              <w:left w:w="100" w:type="dxa"/>
              <w:bottom w:w="100" w:type="dxa"/>
              <w:right w:w="100" w:type="dxa"/>
            </w:tcMar>
          </w:tcPr>
          <w:p w14:paraId="5EF85F4C" w14:textId="77777777" w:rsidR="0044292D" w:rsidRDefault="0057687C">
            <w:pPr>
              <w:widowControl w:val="0"/>
              <w:spacing w:line="240" w:lineRule="auto"/>
              <w:rPr>
                <w:sz w:val="18"/>
                <w:szCs w:val="18"/>
              </w:rPr>
            </w:pPr>
            <w:r>
              <w:rPr>
                <w:sz w:val="18"/>
                <w:szCs w:val="18"/>
              </w:rPr>
              <w:t>Pitched Roof</w:t>
            </w:r>
          </w:p>
        </w:tc>
        <w:tc>
          <w:tcPr>
            <w:tcW w:w="5880" w:type="dxa"/>
            <w:gridSpan w:val="3"/>
            <w:shd w:val="clear" w:color="auto" w:fill="auto"/>
            <w:tcMar>
              <w:top w:w="100" w:type="dxa"/>
              <w:left w:w="100" w:type="dxa"/>
              <w:bottom w:w="100" w:type="dxa"/>
              <w:right w:w="100" w:type="dxa"/>
            </w:tcMar>
          </w:tcPr>
          <w:p w14:paraId="796CCDB5" w14:textId="77777777" w:rsidR="0044292D" w:rsidRDefault="0057687C">
            <w:pPr>
              <w:widowControl w:val="0"/>
              <w:spacing w:line="240" w:lineRule="auto"/>
              <w:jc w:val="center"/>
              <w:rPr>
                <w:sz w:val="18"/>
                <w:szCs w:val="18"/>
              </w:rPr>
            </w:pPr>
            <w:r>
              <w:rPr>
                <w:sz w:val="18"/>
                <w:szCs w:val="18"/>
              </w:rPr>
              <w:t>N/A, see figure #</w:t>
            </w:r>
          </w:p>
        </w:tc>
      </w:tr>
      <w:tr w:rsidR="0044292D" w14:paraId="7636299B" w14:textId="77777777">
        <w:tc>
          <w:tcPr>
            <w:tcW w:w="9360" w:type="dxa"/>
            <w:gridSpan w:val="4"/>
            <w:shd w:val="clear" w:color="auto" w:fill="434343"/>
            <w:tcMar>
              <w:top w:w="100" w:type="dxa"/>
              <w:left w:w="100" w:type="dxa"/>
              <w:bottom w:w="100" w:type="dxa"/>
              <w:right w:w="100" w:type="dxa"/>
            </w:tcMar>
          </w:tcPr>
          <w:p w14:paraId="09C8C4E5" w14:textId="77777777" w:rsidR="0044292D" w:rsidRDefault="0057687C">
            <w:pPr>
              <w:widowControl w:val="0"/>
              <w:spacing w:line="240" w:lineRule="auto"/>
              <w:rPr>
                <w:b/>
                <w:color w:val="FFFFFF"/>
                <w:sz w:val="20"/>
                <w:szCs w:val="20"/>
              </w:rPr>
            </w:pPr>
            <w:r>
              <w:rPr>
                <w:b/>
                <w:color w:val="FFFFFF"/>
                <w:sz w:val="20"/>
                <w:szCs w:val="20"/>
              </w:rPr>
              <w:lastRenderedPageBreak/>
              <w:t>Facade</w:t>
            </w:r>
          </w:p>
        </w:tc>
      </w:tr>
      <w:tr w:rsidR="0044292D" w14:paraId="37892630" w14:textId="77777777">
        <w:tc>
          <w:tcPr>
            <w:tcW w:w="9360" w:type="dxa"/>
            <w:gridSpan w:val="4"/>
            <w:shd w:val="clear" w:color="auto" w:fill="auto"/>
            <w:tcMar>
              <w:top w:w="100" w:type="dxa"/>
              <w:left w:w="100" w:type="dxa"/>
              <w:bottom w:w="100" w:type="dxa"/>
              <w:right w:w="100" w:type="dxa"/>
            </w:tcMar>
          </w:tcPr>
          <w:p w14:paraId="16E703CA" w14:textId="77777777" w:rsidR="0044292D" w:rsidRDefault="0057687C">
            <w:pPr>
              <w:widowControl w:val="0"/>
              <w:spacing w:line="240" w:lineRule="auto"/>
              <w:rPr>
                <w:b/>
                <w:sz w:val="20"/>
                <w:szCs w:val="20"/>
              </w:rPr>
            </w:pPr>
            <w:r>
              <w:rPr>
                <w:b/>
                <w:sz w:val="20"/>
                <w:szCs w:val="20"/>
              </w:rPr>
              <w:t>Fenestration (min.)</w:t>
            </w:r>
          </w:p>
        </w:tc>
      </w:tr>
      <w:tr w:rsidR="0044292D" w14:paraId="597715CB" w14:textId="77777777" w:rsidTr="0057687C">
        <w:trPr>
          <w:trHeight w:val="20"/>
        </w:trPr>
        <w:tc>
          <w:tcPr>
            <w:tcW w:w="3480" w:type="dxa"/>
            <w:shd w:val="clear" w:color="auto" w:fill="auto"/>
            <w:tcMar>
              <w:top w:w="100" w:type="dxa"/>
              <w:left w:w="100" w:type="dxa"/>
              <w:bottom w:w="100" w:type="dxa"/>
              <w:right w:w="100" w:type="dxa"/>
            </w:tcMar>
          </w:tcPr>
          <w:p w14:paraId="238AD60F" w14:textId="77777777" w:rsidR="0044292D" w:rsidRDefault="0057687C">
            <w:pPr>
              <w:widowControl w:val="0"/>
              <w:spacing w:line="240" w:lineRule="auto"/>
              <w:rPr>
                <w:sz w:val="18"/>
                <w:szCs w:val="18"/>
              </w:rPr>
            </w:pPr>
            <w:r>
              <w:rPr>
                <w:sz w:val="18"/>
                <w:szCs w:val="18"/>
              </w:rPr>
              <w:t>Ground Story Active Use</w:t>
            </w:r>
          </w:p>
        </w:tc>
        <w:tc>
          <w:tcPr>
            <w:tcW w:w="1965" w:type="dxa"/>
            <w:shd w:val="clear" w:color="auto" w:fill="auto"/>
            <w:tcMar>
              <w:top w:w="100" w:type="dxa"/>
              <w:left w:w="100" w:type="dxa"/>
              <w:bottom w:w="100" w:type="dxa"/>
              <w:right w:w="100" w:type="dxa"/>
            </w:tcMar>
          </w:tcPr>
          <w:p w14:paraId="2042B007" w14:textId="77777777" w:rsidR="0044292D" w:rsidRDefault="0057687C">
            <w:pPr>
              <w:widowControl w:val="0"/>
              <w:spacing w:line="240" w:lineRule="auto"/>
              <w:jc w:val="center"/>
              <w:rPr>
                <w:sz w:val="18"/>
                <w:szCs w:val="18"/>
              </w:rPr>
            </w:pPr>
            <w:r>
              <w:rPr>
                <w:sz w:val="18"/>
                <w:szCs w:val="18"/>
              </w:rPr>
              <w:t>N/A</w:t>
            </w:r>
          </w:p>
        </w:tc>
        <w:tc>
          <w:tcPr>
            <w:tcW w:w="1950" w:type="dxa"/>
            <w:shd w:val="clear" w:color="auto" w:fill="auto"/>
            <w:tcMar>
              <w:top w:w="100" w:type="dxa"/>
              <w:left w:w="100" w:type="dxa"/>
              <w:bottom w:w="100" w:type="dxa"/>
              <w:right w:w="100" w:type="dxa"/>
            </w:tcMar>
          </w:tcPr>
          <w:p w14:paraId="3967C752" w14:textId="77777777" w:rsidR="0044292D" w:rsidRDefault="0057687C">
            <w:pPr>
              <w:widowControl w:val="0"/>
              <w:spacing w:line="240" w:lineRule="auto"/>
              <w:jc w:val="center"/>
              <w:rPr>
                <w:sz w:val="18"/>
                <w:szCs w:val="18"/>
              </w:rPr>
            </w:pPr>
            <w:r>
              <w:rPr>
                <w:sz w:val="18"/>
                <w:szCs w:val="18"/>
              </w:rPr>
              <w:t>70%</w:t>
            </w:r>
          </w:p>
        </w:tc>
        <w:tc>
          <w:tcPr>
            <w:tcW w:w="1965" w:type="dxa"/>
            <w:shd w:val="clear" w:color="auto" w:fill="auto"/>
            <w:tcMar>
              <w:top w:w="100" w:type="dxa"/>
              <w:left w:w="100" w:type="dxa"/>
              <w:bottom w:w="100" w:type="dxa"/>
              <w:right w:w="100" w:type="dxa"/>
            </w:tcMar>
          </w:tcPr>
          <w:p w14:paraId="5D567944" w14:textId="77777777" w:rsidR="0044292D" w:rsidRDefault="0057687C">
            <w:pPr>
              <w:widowControl w:val="0"/>
              <w:spacing w:line="240" w:lineRule="auto"/>
              <w:jc w:val="center"/>
              <w:rPr>
                <w:sz w:val="18"/>
                <w:szCs w:val="18"/>
              </w:rPr>
            </w:pPr>
            <w:r>
              <w:rPr>
                <w:sz w:val="18"/>
                <w:szCs w:val="18"/>
              </w:rPr>
              <w:t>70%</w:t>
            </w:r>
          </w:p>
        </w:tc>
      </w:tr>
      <w:tr w:rsidR="0044292D" w14:paraId="3E52A98A" w14:textId="77777777" w:rsidTr="0057687C">
        <w:trPr>
          <w:trHeight w:val="20"/>
        </w:trPr>
        <w:tc>
          <w:tcPr>
            <w:tcW w:w="9360" w:type="dxa"/>
            <w:gridSpan w:val="4"/>
            <w:shd w:val="clear" w:color="auto" w:fill="auto"/>
            <w:tcMar>
              <w:top w:w="100" w:type="dxa"/>
              <w:left w:w="100" w:type="dxa"/>
              <w:bottom w:w="100" w:type="dxa"/>
              <w:right w:w="100" w:type="dxa"/>
            </w:tcMar>
          </w:tcPr>
          <w:p w14:paraId="488C02C2" w14:textId="77777777" w:rsidR="0044292D" w:rsidRDefault="0057687C">
            <w:pPr>
              <w:widowControl w:val="0"/>
              <w:spacing w:line="240" w:lineRule="auto"/>
              <w:rPr>
                <w:b/>
                <w:sz w:val="20"/>
                <w:szCs w:val="20"/>
              </w:rPr>
            </w:pPr>
            <w:r>
              <w:rPr>
                <w:b/>
                <w:sz w:val="20"/>
                <w:szCs w:val="20"/>
              </w:rPr>
              <w:t>Articulation</w:t>
            </w:r>
          </w:p>
        </w:tc>
      </w:tr>
      <w:tr w:rsidR="0044292D" w14:paraId="0E4E3BE8" w14:textId="77777777" w:rsidTr="0057687C">
        <w:trPr>
          <w:trHeight w:val="20"/>
        </w:trPr>
        <w:tc>
          <w:tcPr>
            <w:tcW w:w="3480" w:type="dxa"/>
            <w:shd w:val="clear" w:color="auto" w:fill="auto"/>
            <w:tcMar>
              <w:top w:w="100" w:type="dxa"/>
              <w:left w:w="100" w:type="dxa"/>
              <w:bottom w:w="100" w:type="dxa"/>
              <w:right w:w="100" w:type="dxa"/>
            </w:tcMar>
          </w:tcPr>
          <w:p w14:paraId="043EDD8A" w14:textId="77777777" w:rsidR="0044292D" w:rsidRDefault="0057687C">
            <w:pPr>
              <w:widowControl w:val="0"/>
              <w:spacing w:line="240" w:lineRule="auto"/>
              <w:rPr>
                <w:sz w:val="18"/>
                <w:szCs w:val="18"/>
              </w:rPr>
            </w:pPr>
            <w:r>
              <w:rPr>
                <w:sz w:val="18"/>
                <w:szCs w:val="18"/>
              </w:rPr>
              <w:t>Length of continuous facade (max.)</w:t>
            </w:r>
          </w:p>
        </w:tc>
        <w:tc>
          <w:tcPr>
            <w:tcW w:w="5880" w:type="dxa"/>
            <w:gridSpan w:val="3"/>
            <w:shd w:val="clear" w:color="auto" w:fill="auto"/>
            <w:tcMar>
              <w:top w:w="100" w:type="dxa"/>
              <w:left w:w="100" w:type="dxa"/>
              <w:bottom w:w="100" w:type="dxa"/>
              <w:right w:w="100" w:type="dxa"/>
            </w:tcMar>
          </w:tcPr>
          <w:p w14:paraId="7AC5B8C4" w14:textId="77777777" w:rsidR="0044292D" w:rsidRDefault="0057687C">
            <w:pPr>
              <w:widowControl w:val="0"/>
              <w:spacing w:line="240" w:lineRule="auto"/>
              <w:jc w:val="center"/>
              <w:rPr>
                <w:sz w:val="18"/>
                <w:szCs w:val="18"/>
              </w:rPr>
            </w:pPr>
            <w:r>
              <w:rPr>
                <w:sz w:val="18"/>
                <w:szCs w:val="18"/>
              </w:rPr>
              <w:t>100’</w:t>
            </w:r>
          </w:p>
        </w:tc>
      </w:tr>
    </w:tbl>
    <w:p w14:paraId="6A5CDAC4" w14:textId="77777777" w:rsidR="0044292D" w:rsidRDefault="0057687C">
      <w:r>
        <w:rPr>
          <w:sz w:val="20"/>
          <w:szCs w:val="20"/>
        </w:rPr>
        <w:t xml:space="preserve">*Staff is exploring a Special Permit allowance of an additional one (1) story with specific criteria tied to an increase in affordable housing. </w:t>
      </w:r>
      <w:r>
        <w:br/>
      </w:r>
    </w:p>
    <w:p w14:paraId="074186D8" w14:textId="77777777" w:rsidR="0044292D" w:rsidRDefault="0057687C">
      <w:pPr>
        <w:numPr>
          <w:ilvl w:val="1"/>
          <w:numId w:val="7"/>
        </w:numPr>
      </w:pPr>
      <w:r>
        <w:t>Development and Design Standards</w:t>
      </w:r>
    </w:p>
    <w:p w14:paraId="77DEC6AF" w14:textId="77777777" w:rsidR="0044292D" w:rsidRDefault="0044292D"/>
    <w:p w14:paraId="38792CF3" w14:textId="77777777" w:rsidR="0044292D" w:rsidRDefault="0057687C">
      <w:pPr>
        <w:numPr>
          <w:ilvl w:val="0"/>
          <w:numId w:val="2"/>
        </w:numPr>
      </w:pPr>
      <w:r>
        <w:t>Lot Design Standards</w:t>
      </w:r>
      <w:r>
        <w:br/>
      </w:r>
      <w:r>
        <w:t>This section provides an explanation of the dimensional standards for lots within the VCOD tiers, defines how to measure certain standards, and provides other requirements and reference information as necessary.</w:t>
      </w:r>
    </w:p>
    <w:p w14:paraId="1BBE260B" w14:textId="77777777" w:rsidR="0044292D" w:rsidRDefault="0057687C">
      <w:pPr>
        <w:numPr>
          <w:ilvl w:val="1"/>
          <w:numId w:val="2"/>
        </w:numPr>
      </w:pPr>
      <w:r>
        <w:t>Building Placement</w:t>
      </w:r>
    </w:p>
    <w:p w14:paraId="68C63D93" w14:textId="77777777" w:rsidR="0044292D" w:rsidRDefault="0057687C">
      <w:pPr>
        <w:numPr>
          <w:ilvl w:val="2"/>
          <w:numId w:val="2"/>
        </w:numPr>
      </w:pPr>
      <w:r>
        <w:t xml:space="preserve">The Front Elevation must </w:t>
      </w:r>
      <w:r>
        <w:t xml:space="preserve">be built to any Front Lot Line(s) within the Build-To-Zone, at or between the minimum and maximum front setbacks, as specified in the Lot Standards for each VCOD tier. </w:t>
      </w:r>
    </w:p>
    <w:p w14:paraId="1835187B" w14:textId="77777777" w:rsidR="0044292D" w:rsidRDefault="0057687C">
      <w:pPr>
        <w:numPr>
          <w:ilvl w:val="3"/>
          <w:numId w:val="2"/>
        </w:numPr>
      </w:pPr>
      <w:r>
        <w:t>The maximum front setback may be increased if providing Usable Open Space between the F</w:t>
      </w:r>
      <w:r>
        <w:t>ront Lot Line(s) and the Front Elevation in the VC2 and VC3 districts.</w:t>
      </w:r>
    </w:p>
    <w:p w14:paraId="47F8E5A0" w14:textId="77777777" w:rsidR="0044292D" w:rsidRDefault="0057687C">
      <w:pPr>
        <w:numPr>
          <w:ilvl w:val="2"/>
          <w:numId w:val="2"/>
        </w:numPr>
      </w:pPr>
      <w:r>
        <w:t>The Front Elevation must be built out to a percentage of the Lot Width as specified by the Facade Build Out Ratio in the Lot Standards for each VCOD tier.</w:t>
      </w:r>
    </w:p>
    <w:p w14:paraId="328DF4C8" w14:textId="77777777" w:rsidR="0044292D" w:rsidRDefault="0057687C">
      <w:pPr>
        <w:numPr>
          <w:ilvl w:val="3"/>
          <w:numId w:val="2"/>
        </w:numPr>
      </w:pPr>
      <w:r>
        <w:t>The Facade Build Out Ratio may</w:t>
      </w:r>
      <w:r>
        <w:t xml:space="preserve"> be met cumulatively by multiple buildings on a lot.</w:t>
      </w:r>
    </w:p>
    <w:p w14:paraId="0AF46557" w14:textId="77777777" w:rsidR="0044292D" w:rsidRDefault="0057687C">
      <w:pPr>
        <w:numPr>
          <w:ilvl w:val="3"/>
          <w:numId w:val="2"/>
        </w:numPr>
      </w:pPr>
      <w:r>
        <w:t>Usable Open Space with Ground Story Active Uses is considered part of the building for the purpose of measuring the Front Elevation.</w:t>
      </w:r>
      <w:r>
        <w:rPr>
          <w:vertAlign w:val="superscript"/>
        </w:rPr>
        <w:footnoteReference w:id="6"/>
      </w:r>
    </w:p>
    <w:p w14:paraId="5CE0756C" w14:textId="77777777" w:rsidR="0044292D" w:rsidRDefault="0057687C">
      <w:pPr>
        <w:numPr>
          <w:ilvl w:val="2"/>
          <w:numId w:val="2"/>
        </w:numPr>
      </w:pPr>
      <w:r>
        <w:t xml:space="preserve">When development occurs on any lot abutting a sidewalk that is less </w:t>
      </w:r>
      <w:r>
        <w:t xml:space="preserve">than twelve (12) feet in total width, inclusive of the Furnishing Zone, buildings must be set back an additional distance such that a paved area meeting City sidewalk standards of at least twelve (12) feet in width is provided, inclusive of the Furnishing </w:t>
      </w:r>
      <w:r>
        <w:t>Zone. The minimum and maximum front setbacks are increased accordingly.</w:t>
      </w:r>
    </w:p>
    <w:p w14:paraId="2A05A0A1" w14:textId="77777777" w:rsidR="0044292D" w:rsidRDefault="0057687C">
      <w:pPr>
        <w:numPr>
          <w:ilvl w:val="1"/>
          <w:numId w:val="2"/>
        </w:numPr>
      </w:pPr>
      <w:r>
        <w:t>Number of Buildings</w:t>
      </w:r>
    </w:p>
    <w:p w14:paraId="34F005A6" w14:textId="77777777" w:rsidR="0044292D" w:rsidRDefault="0057687C">
      <w:pPr>
        <w:numPr>
          <w:ilvl w:val="2"/>
          <w:numId w:val="2"/>
        </w:numPr>
      </w:pPr>
      <w:r>
        <w:lastRenderedPageBreak/>
        <w:t>Multiple buildings are permitted on each lot.</w:t>
      </w:r>
    </w:p>
    <w:p w14:paraId="77157DE1" w14:textId="77777777" w:rsidR="0044292D" w:rsidRDefault="0057687C">
      <w:pPr>
        <w:numPr>
          <w:ilvl w:val="1"/>
          <w:numId w:val="2"/>
        </w:numPr>
      </w:pPr>
      <w:r>
        <w:t>Building Separation</w:t>
      </w:r>
    </w:p>
    <w:p w14:paraId="0E8B1302" w14:textId="77777777" w:rsidR="0044292D" w:rsidRDefault="0057687C">
      <w:pPr>
        <w:numPr>
          <w:ilvl w:val="2"/>
          <w:numId w:val="2"/>
        </w:numPr>
      </w:pPr>
      <w:r>
        <w:t>Multiple buildings on a single lot must comply with the building separation distance at all points</w:t>
      </w:r>
      <w:r>
        <w:t xml:space="preserve"> as specified in Building Standards for each VCOD tier. </w:t>
      </w:r>
    </w:p>
    <w:p w14:paraId="0864E75B" w14:textId="77777777" w:rsidR="0044292D" w:rsidRDefault="0057687C">
      <w:pPr>
        <w:numPr>
          <w:ilvl w:val="1"/>
          <w:numId w:val="2"/>
        </w:numPr>
      </w:pPr>
      <w:r>
        <w:t>Parking Placement</w:t>
      </w:r>
    </w:p>
    <w:p w14:paraId="220C474E" w14:textId="77777777" w:rsidR="0044292D" w:rsidRDefault="0057687C">
      <w:pPr>
        <w:numPr>
          <w:ilvl w:val="2"/>
          <w:numId w:val="2"/>
        </w:numPr>
      </w:pPr>
      <w:r>
        <w:t>Unless otherwise specified, all parking spaces must be located at or behind any required parking setback as specified in the Lot Standards for each VCOD tier.</w:t>
      </w:r>
    </w:p>
    <w:p w14:paraId="4C184C7C" w14:textId="77777777" w:rsidR="0044292D" w:rsidRDefault="0057687C">
      <w:pPr>
        <w:numPr>
          <w:ilvl w:val="0"/>
          <w:numId w:val="2"/>
        </w:numPr>
      </w:pPr>
      <w:r>
        <w:t>Building Design Standa</w:t>
      </w:r>
      <w:r>
        <w:t>rds</w:t>
      </w:r>
    </w:p>
    <w:p w14:paraId="5B3B0005" w14:textId="77777777" w:rsidR="0044292D" w:rsidRDefault="0057687C">
      <w:pPr>
        <w:ind w:left="2160"/>
      </w:pPr>
      <w:r>
        <w:t>This section provides an explanation of the dimensional standards for buildings within the VCOD tiers, defines how to measure certain standards, and provides other requirements and reference information as necessary.</w:t>
      </w:r>
    </w:p>
    <w:p w14:paraId="017CAAE5" w14:textId="77777777" w:rsidR="0044292D" w:rsidRDefault="0057687C">
      <w:pPr>
        <w:numPr>
          <w:ilvl w:val="1"/>
          <w:numId w:val="2"/>
        </w:numPr>
      </w:pPr>
      <w:r>
        <w:t>Building Height</w:t>
      </w:r>
    </w:p>
    <w:p w14:paraId="26B4B5F6" w14:textId="77777777" w:rsidR="0044292D" w:rsidRDefault="0057687C">
      <w:pPr>
        <w:numPr>
          <w:ilvl w:val="2"/>
          <w:numId w:val="2"/>
        </w:numPr>
      </w:pPr>
      <w:r>
        <w:t>Buildings must comp</w:t>
      </w:r>
      <w:r>
        <w:t>ly with the maximum building height specified for each building type. Building height is measured as defined in Section 1.5.4. Height.</w:t>
      </w:r>
    </w:p>
    <w:p w14:paraId="7DB55CA1" w14:textId="77777777" w:rsidR="0044292D" w:rsidRDefault="0057687C">
      <w:pPr>
        <w:numPr>
          <w:ilvl w:val="2"/>
          <w:numId w:val="2"/>
        </w:numPr>
      </w:pPr>
      <w:r>
        <w:t xml:space="preserve">The City Council may grant a Special Permit to allow an increase as specified for each VCOD tier to the maximum Building </w:t>
      </w:r>
      <w:r>
        <w:t>Height by finding that the following criteria are met:</w:t>
      </w:r>
    </w:p>
    <w:p w14:paraId="31AF9605" w14:textId="77777777" w:rsidR="0044292D" w:rsidRDefault="0057687C">
      <w:pPr>
        <w:numPr>
          <w:ilvl w:val="3"/>
          <w:numId w:val="2"/>
        </w:numPr>
      </w:pPr>
      <w:r>
        <w:t>[reserved]</w:t>
      </w:r>
      <w:r>
        <w:rPr>
          <w:vertAlign w:val="superscript"/>
        </w:rPr>
        <w:footnoteReference w:id="7"/>
      </w:r>
    </w:p>
    <w:p w14:paraId="381B13E9" w14:textId="77777777" w:rsidR="0044292D" w:rsidRDefault="0057687C">
      <w:pPr>
        <w:numPr>
          <w:ilvl w:val="1"/>
          <w:numId w:val="2"/>
        </w:numPr>
      </w:pPr>
      <w:r>
        <w:t>Story Height</w:t>
      </w:r>
    </w:p>
    <w:p w14:paraId="01D7A02C" w14:textId="77777777" w:rsidR="0044292D" w:rsidRDefault="0057687C">
      <w:pPr>
        <w:numPr>
          <w:ilvl w:val="2"/>
          <w:numId w:val="2"/>
        </w:numPr>
      </w:pPr>
      <w:r>
        <w:t>The Ground Story of a building must comply with the minimum and maximum story height requirements specified for each VCOD tier and is measured independently for each story of a building.</w:t>
      </w:r>
    </w:p>
    <w:p w14:paraId="4828793F" w14:textId="77777777" w:rsidR="0044292D" w:rsidRDefault="0057687C">
      <w:pPr>
        <w:numPr>
          <w:ilvl w:val="2"/>
          <w:numId w:val="2"/>
        </w:numPr>
      </w:pPr>
      <w:r>
        <w:t>The height of the ground story and upper story(</w:t>
      </w:r>
      <w:proofErr w:type="spellStart"/>
      <w:r>
        <w:t>ies</w:t>
      </w:r>
      <w:proofErr w:type="spellEnd"/>
      <w:r>
        <w:t xml:space="preserve">) of a building is </w:t>
      </w:r>
      <w:r>
        <w:t>measured vertically from the surface of the finished floor to the surface of the finished floor above, at all points.</w:t>
      </w:r>
    </w:p>
    <w:p w14:paraId="53C047BF" w14:textId="77777777" w:rsidR="0044292D" w:rsidRDefault="0057687C">
      <w:pPr>
        <w:numPr>
          <w:ilvl w:val="2"/>
          <w:numId w:val="2"/>
        </w:numPr>
      </w:pPr>
      <w:r>
        <w:t>The height of a half story is measured vertically from the surface of the finished floor to the top of the highest roof beam above.</w:t>
      </w:r>
    </w:p>
    <w:p w14:paraId="128D3D69" w14:textId="77777777" w:rsidR="0044292D" w:rsidRDefault="0057687C">
      <w:pPr>
        <w:numPr>
          <w:ilvl w:val="1"/>
          <w:numId w:val="2"/>
        </w:numPr>
      </w:pPr>
      <w:r>
        <w:t>Number of Stories</w:t>
      </w:r>
    </w:p>
    <w:p w14:paraId="4F79A283" w14:textId="77777777" w:rsidR="0044292D" w:rsidRDefault="0057687C">
      <w:pPr>
        <w:numPr>
          <w:ilvl w:val="2"/>
          <w:numId w:val="2"/>
        </w:numPr>
      </w:pPr>
      <w:r>
        <w:t>Buildings must comply with the maximum number of stories as specified in the Building Standards for each VCOD tier.</w:t>
      </w:r>
    </w:p>
    <w:p w14:paraId="085C4C5E" w14:textId="77777777" w:rsidR="0044292D" w:rsidRDefault="0057687C">
      <w:pPr>
        <w:numPr>
          <w:ilvl w:val="2"/>
          <w:numId w:val="2"/>
        </w:numPr>
      </w:pPr>
      <w:r>
        <w:t>The Ground Story is always counted as one (1) story, except that a single Ground Story over eighteen (18) feet in height i</w:t>
      </w:r>
      <w:r>
        <w:t>s counted as two (2) stories.</w:t>
      </w:r>
    </w:p>
    <w:p w14:paraId="57EA5E48" w14:textId="77777777" w:rsidR="0044292D" w:rsidRDefault="0057687C">
      <w:pPr>
        <w:numPr>
          <w:ilvl w:val="2"/>
          <w:numId w:val="2"/>
        </w:numPr>
      </w:pPr>
      <w:r>
        <w:t>Space located directly under a pitched roof is counted as a half (0.5) story, provided the following standards are all met:</w:t>
      </w:r>
    </w:p>
    <w:p w14:paraId="552FC978" w14:textId="77777777" w:rsidR="0044292D" w:rsidRDefault="0057687C">
      <w:pPr>
        <w:numPr>
          <w:ilvl w:val="3"/>
          <w:numId w:val="2"/>
        </w:numPr>
      </w:pPr>
      <w:r>
        <w:t>At least two opposite roof planes are pitched toward each other.</w:t>
      </w:r>
    </w:p>
    <w:p w14:paraId="2550EE37" w14:textId="77777777" w:rsidR="0044292D" w:rsidRDefault="0057687C">
      <w:pPr>
        <w:numPr>
          <w:ilvl w:val="3"/>
          <w:numId w:val="2"/>
        </w:numPr>
      </w:pPr>
      <w:r>
        <w:lastRenderedPageBreak/>
        <w:t>A pitched roof may be composed of roo</w:t>
      </w:r>
      <w:r>
        <w:t>f planes with different slopes.</w:t>
      </w:r>
    </w:p>
    <w:p w14:paraId="2CCF83DB" w14:textId="77777777" w:rsidR="0044292D" w:rsidRDefault="0057687C">
      <w:pPr>
        <w:numPr>
          <w:ilvl w:val="3"/>
          <w:numId w:val="2"/>
        </w:numPr>
      </w:pPr>
      <w:r>
        <w:t>The slope of any pitch must be no greater than 14:12 (49 degrees); otherwise, this story is counted as a full story.</w:t>
      </w:r>
    </w:p>
    <w:p w14:paraId="3002342A" w14:textId="77777777" w:rsidR="0044292D" w:rsidRDefault="0057687C">
      <w:pPr>
        <w:numPr>
          <w:ilvl w:val="3"/>
          <w:numId w:val="2"/>
        </w:numPr>
      </w:pPr>
      <w:r>
        <w:t>The roof rafters must intersect the wall plate or top of wall frame of the exterior walls at a height no mo</w:t>
      </w:r>
      <w:r>
        <w:t>re than two (2) feet above the finished floor of the half-story; otherwise, this story is counted as a full story.</w:t>
      </w:r>
    </w:p>
    <w:p w14:paraId="5F97ED4C" w14:textId="77777777" w:rsidR="0044292D" w:rsidRDefault="0057687C">
      <w:pPr>
        <w:numPr>
          <w:ilvl w:val="3"/>
          <w:numId w:val="2"/>
        </w:numPr>
      </w:pPr>
      <w:r>
        <w:t>Dormers must comply with requirements in Sec. 1.5.4.G.</w:t>
      </w:r>
    </w:p>
    <w:p w14:paraId="627765BB" w14:textId="77777777" w:rsidR="0044292D" w:rsidRDefault="0057687C">
      <w:pPr>
        <w:numPr>
          <w:ilvl w:val="1"/>
          <w:numId w:val="2"/>
        </w:numPr>
      </w:pPr>
      <w:r>
        <w:t>Half-Story Step-Back</w:t>
      </w:r>
    </w:p>
    <w:p w14:paraId="1986B112" w14:textId="77777777" w:rsidR="0044292D" w:rsidRDefault="0057687C">
      <w:pPr>
        <w:numPr>
          <w:ilvl w:val="2"/>
          <w:numId w:val="2"/>
        </w:numPr>
      </w:pPr>
      <w:r>
        <w:t>A required distance that certain upper stories of a building must</w:t>
      </w:r>
      <w:r>
        <w:t xml:space="preserve"> be recessed from the plane of the facade of the stories below.</w:t>
      </w:r>
    </w:p>
    <w:p w14:paraId="5F43B5DC" w14:textId="77777777" w:rsidR="0044292D" w:rsidRDefault="0057687C">
      <w:pPr>
        <w:numPr>
          <w:ilvl w:val="3"/>
          <w:numId w:val="2"/>
        </w:numPr>
      </w:pPr>
      <w:r>
        <w:t>Required Step-Backs must be provided for all stories as specified in the Building Standards for each VCOD tier.</w:t>
      </w:r>
    </w:p>
    <w:p w14:paraId="43A4AD36" w14:textId="77777777" w:rsidR="0044292D" w:rsidRDefault="0057687C">
      <w:pPr>
        <w:numPr>
          <w:ilvl w:val="3"/>
          <w:numId w:val="2"/>
        </w:numPr>
      </w:pPr>
      <w:r>
        <w:t xml:space="preserve">Buildings on any lot with a Lot Width of Less than seventy (70) feet are exempt </w:t>
      </w:r>
      <w:r>
        <w:t xml:space="preserve">for the upper story Step-Back requirement along the Side Lot Line. </w:t>
      </w:r>
    </w:p>
    <w:p w14:paraId="1F95C6DD" w14:textId="77777777" w:rsidR="0044292D" w:rsidRDefault="0057687C">
      <w:pPr>
        <w:numPr>
          <w:ilvl w:val="3"/>
          <w:numId w:val="2"/>
        </w:numPr>
      </w:pPr>
      <w:r>
        <w:t>Buildings on any lot with an average lot depth less than seventy (70) feet are exempt from the upper story Step-Back requirement along the Rear Lot Line.</w:t>
      </w:r>
    </w:p>
    <w:p w14:paraId="4FFAC262" w14:textId="77777777" w:rsidR="0044292D" w:rsidRDefault="0057687C">
      <w:pPr>
        <w:numPr>
          <w:ilvl w:val="1"/>
          <w:numId w:val="2"/>
        </w:numPr>
      </w:pPr>
      <w:r>
        <w:t>Building Footprint</w:t>
      </w:r>
    </w:p>
    <w:p w14:paraId="620008FC" w14:textId="77777777" w:rsidR="0044292D" w:rsidRDefault="0057687C">
      <w:pPr>
        <w:numPr>
          <w:ilvl w:val="2"/>
          <w:numId w:val="2"/>
        </w:numPr>
      </w:pPr>
      <w:r>
        <w:t xml:space="preserve">Buildings must </w:t>
      </w:r>
      <w:r>
        <w:t xml:space="preserve">comply with the maximum Building Footprint </w:t>
      </w:r>
      <w:proofErr w:type="gramStart"/>
      <w:r>
        <w:t>as  specified</w:t>
      </w:r>
      <w:proofErr w:type="gramEnd"/>
      <w:r>
        <w:t xml:space="preserve"> in the Building Standards for each VCOD tier. Building Footprint is measured as defined in Definitions.</w:t>
      </w:r>
    </w:p>
    <w:p w14:paraId="36658E27" w14:textId="77777777" w:rsidR="0044292D" w:rsidRDefault="0057687C">
      <w:pPr>
        <w:numPr>
          <w:ilvl w:val="2"/>
          <w:numId w:val="2"/>
        </w:numPr>
      </w:pPr>
      <w:r>
        <w:t xml:space="preserve">Building Footprint includes all enclosed spaces whether for habitation or storage. Any parking </w:t>
      </w:r>
      <w:r>
        <w:t>area that is covered by a roof is included in the Building Footprint.</w:t>
      </w:r>
    </w:p>
    <w:p w14:paraId="710B4981" w14:textId="77777777" w:rsidR="0044292D" w:rsidRDefault="0057687C">
      <w:pPr>
        <w:numPr>
          <w:ilvl w:val="2"/>
          <w:numId w:val="2"/>
        </w:numPr>
      </w:pPr>
      <w:r>
        <w:t xml:space="preserve">Bays, Awnings, Balconies, and Canopies do not count towards the Building Footprint. </w:t>
      </w:r>
    </w:p>
    <w:p w14:paraId="590FC3D0" w14:textId="77777777" w:rsidR="0044292D" w:rsidRDefault="0057687C">
      <w:pPr>
        <w:numPr>
          <w:ilvl w:val="2"/>
          <w:numId w:val="2"/>
        </w:numPr>
      </w:pPr>
      <w:r>
        <w:t>The City Council may grant a Special Permit to allow an increase as specified for each VCOD tier to t</w:t>
      </w:r>
      <w:r>
        <w:t>he maximum Building Footprint by finding that the following criteria are met:</w:t>
      </w:r>
    </w:p>
    <w:p w14:paraId="4CD7D668" w14:textId="77777777" w:rsidR="0044292D" w:rsidRDefault="0057687C">
      <w:pPr>
        <w:numPr>
          <w:ilvl w:val="3"/>
          <w:numId w:val="2"/>
        </w:numPr>
      </w:pPr>
      <w:r>
        <w:t>[reserved]</w:t>
      </w:r>
      <w:r>
        <w:rPr>
          <w:vertAlign w:val="superscript"/>
        </w:rPr>
        <w:footnoteReference w:id="8"/>
      </w:r>
    </w:p>
    <w:p w14:paraId="0F493770" w14:textId="77777777" w:rsidR="0044292D" w:rsidRDefault="0057687C">
      <w:pPr>
        <w:numPr>
          <w:ilvl w:val="1"/>
          <w:numId w:val="2"/>
        </w:numPr>
      </w:pPr>
      <w:r>
        <w:t>Ground Story Active Uses</w:t>
      </w:r>
    </w:p>
    <w:p w14:paraId="06E08D7F" w14:textId="77777777" w:rsidR="0044292D" w:rsidRDefault="0057687C">
      <w:pPr>
        <w:numPr>
          <w:ilvl w:val="2"/>
          <w:numId w:val="2"/>
        </w:numPr>
      </w:pPr>
      <w:r>
        <w:t xml:space="preserve">Any Mixed-Use building within the VCOD tiers must also provide ground story Active Use(s) for one hundred percent (100%) of the total width </w:t>
      </w:r>
      <w:r>
        <w:t>of the building along the Front Elevation.</w:t>
      </w:r>
    </w:p>
    <w:p w14:paraId="6FA0F163" w14:textId="77777777" w:rsidR="0044292D" w:rsidRDefault="0057687C">
      <w:pPr>
        <w:numPr>
          <w:ilvl w:val="2"/>
          <w:numId w:val="2"/>
        </w:numPr>
      </w:pPr>
      <w:r>
        <w:t>Active Uses include:</w:t>
      </w:r>
    </w:p>
    <w:p w14:paraId="0C596246" w14:textId="77777777" w:rsidR="0044292D" w:rsidRDefault="0057687C">
      <w:pPr>
        <w:numPr>
          <w:ilvl w:val="3"/>
          <w:numId w:val="2"/>
        </w:numPr>
      </w:pPr>
      <w:r>
        <w:t>Retail</w:t>
      </w:r>
    </w:p>
    <w:p w14:paraId="5C1BBBEB" w14:textId="77777777" w:rsidR="0044292D" w:rsidRDefault="0057687C">
      <w:pPr>
        <w:numPr>
          <w:ilvl w:val="3"/>
          <w:numId w:val="2"/>
        </w:numPr>
      </w:pPr>
      <w:r>
        <w:t>Restaurant / bar / specialty food service</w:t>
      </w:r>
    </w:p>
    <w:p w14:paraId="2F0511D2" w14:textId="77777777" w:rsidR="0044292D" w:rsidRDefault="0057687C">
      <w:pPr>
        <w:numPr>
          <w:ilvl w:val="3"/>
          <w:numId w:val="2"/>
        </w:numPr>
      </w:pPr>
      <w:r>
        <w:lastRenderedPageBreak/>
        <w:t>Brewery / distillery / winery with an accessory retail component</w:t>
      </w:r>
      <w:r>
        <w:rPr>
          <w:vertAlign w:val="superscript"/>
        </w:rPr>
        <w:footnoteReference w:id="9"/>
      </w:r>
    </w:p>
    <w:p w14:paraId="70896AE5" w14:textId="77777777" w:rsidR="0044292D" w:rsidRDefault="0057687C">
      <w:pPr>
        <w:numPr>
          <w:ilvl w:val="3"/>
          <w:numId w:val="2"/>
        </w:numPr>
      </w:pPr>
      <w:r>
        <w:t>Place of amusement</w:t>
      </w:r>
    </w:p>
    <w:p w14:paraId="62D6C994" w14:textId="77777777" w:rsidR="0044292D" w:rsidRDefault="0057687C">
      <w:pPr>
        <w:numPr>
          <w:ilvl w:val="3"/>
          <w:numId w:val="2"/>
        </w:numPr>
      </w:pPr>
      <w:r>
        <w:t>Personal service</w:t>
      </w:r>
      <w:r>
        <w:rPr>
          <w:vertAlign w:val="superscript"/>
        </w:rPr>
        <w:footnoteReference w:id="10"/>
      </w:r>
    </w:p>
    <w:p w14:paraId="65000C4E" w14:textId="77777777" w:rsidR="0044292D" w:rsidRDefault="0057687C">
      <w:pPr>
        <w:numPr>
          <w:ilvl w:val="3"/>
          <w:numId w:val="2"/>
        </w:numPr>
      </w:pPr>
      <w:r>
        <w:t>Day care center</w:t>
      </w:r>
    </w:p>
    <w:p w14:paraId="4DE4E87F" w14:textId="77777777" w:rsidR="0044292D" w:rsidRDefault="0057687C">
      <w:pPr>
        <w:numPr>
          <w:ilvl w:val="3"/>
          <w:numId w:val="2"/>
        </w:numPr>
      </w:pPr>
      <w:r>
        <w:t>Public art / gallery / arts studio</w:t>
      </w:r>
      <w:r>
        <w:rPr>
          <w:vertAlign w:val="superscript"/>
        </w:rPr>
        <w:footnoteReference w:id="11"/>
      </w:r>
    </w:p>
    <w:p w14:paraId="61B83A02" w14:textId="77777777" w:rsidR="0044292D" w:rsidRDefault="0057687C">
      <w:pPr>
        <w:numPr>
          <w:ilvl w:val="3"/>
          <w:numId w:val="2"/>
        </w:numPr>
      </w:pPr>
      <w:r>
        <w:t>Live/</w:t>
      </w:r>
      <w:proofErr w:type="gramStart"/>
      <w:r>
        <w:t>work space</w:t>
      </w:r>
      <w:proofErr w:type="gramEnd"/>
    </w:p>
    <w:p w14:paraId="739651D0" w14:textId="77777777" w:rsidR="0044292D" w:rsidRDefault="0057687C">
      <w:pPr>
        <w:numPr>
          <w:ilvl w:val="3"/>
          <w:numId w:val="2"/>
        </w:numPr>
      </w:pPr>
      <w:r>
        <w:t>Community use space</w:t>
      </w:r>
    </w:p>
    <w:p w14:paraId="68CD98C3" w14:textId="77777777" w:rsidR="0044292D" w:rsidRDefault="0057687C">
      <w:pPr>
        <w:numPr>
          <w:ilvl w:val="3"/>
          <w:numId w:val="2"/>
        </w:numPr>
      </w:pPr>
      <w:r>
        <w:t>Semi-active accessory uses, such as lobbies and common areas associated with office, hotel, or residential uses</w:t>
      </w:r>
    </w:p>
    <w:p w14:paraId="326A68F3" w14:textId="77777777" w:rsidR="0044292D" w:rsidRDefault="0057687C">
      <w:pPr>
        <w:numPr>
          <w:ilvl w:val="2"/>
          <w:numId w:val="2"/>
        </w:numPr>
      </w:pPr>
      <w:r>
        <w:t>Only uses listed above are considered Active Uses.</w:t>
      </w:r>
    </w:p>
    <w:p w14:paraId="374912A3" w14:textId="77777777" w:rsidR="0044292D" w:rsidRDefault="0057687C">
      <w:pPr>
        <w:numPr>
          <w:ilvl w:val="1"/>
          <w:numId w:val="2"/>
        </w:numPr>
      </w:pPr>
      <w:r>
        <w:t>Adaptive Reuse</w:t>
      </w:r>
    </w:p>
    <w:p w14:paraId="095CC153" w14:textId="77777777" w:rsidR="0044292D" w:rsidRDefault="0057687C">
      <w:pPr>
        <w:ind w:left="2880"/>
      </w:pPr>
      <w:r>
        <w:t>The r</w:t>
      </w:r>
      <w:r>
        <w:t>euse and revitalization of existing buildings, particularly large homes, within the VCOD tiers will benefit the general health and welfare of the Newton community by fulfilling stated goals on housing, transportation, sustainability, and historic preservat</w:t>
      </w:r>
      <w:r>
        <w:t xml:space="preserve">ion. </w:t>
      </w:r>
    </w:p>
    <w:p w14:paraId="467132EB" w14:textId="77777777" w:rsidR="0044292D" w:rsidRDefault="0057687C">
      <w:pPr>
        <w:numPr>
          <w:ilvl w:val="2"/>
          <w:numId w:val="2"/>
        </w:numPr>
      </w:pPr>
      <w:r>
        <w:t>[reserved]</w:t>
      </w:r>
      <w:r>
        <w:rPr>
          <w:vertAlign w:val="superscript"/>
        </w:rPr>
        <w:footnoteReference w:id="12"/>
      </w:r>
    </w:p>
    <w:p w14:paraId="7FBB29D3" w14:textId="77777777" w:rsidR="0044292D" w:rsidRDefault="0057687C">
      <w:pPr>
        <w:numPr>
          <w:ilvl w:val="1"/>
          <w:numId w:val="2"/>
        </w:numPr>
      </w:pPr>
      <w:r>
        <w:t>Architectural Features</w:t>
      </w:r>
    </w:p>
    <w:p w14:paraId="4A40764B" w14:textId="77777777" w:rsidR="0044292D" w:rsidRDefault="0057687C">
      <w:pPr>
        <w:numPr>
          <w:ilvl w:val="2"/>
          <w:numId w:val="2"/>
        </w:numPr>
      </w:pPr>
      <w:r>
        <w:t>The structural and architectural elements which extend outward from a building facade, including Awnings, Canopies, Bays, and Balconies. Architectural features may project into the setback and/or public right of wa</w:t>
      </w:r>
      <w:r>
        <w:t>y as shown below. These architectural features are defined and may project into the setback and/or public right of way as shown below defined as:</w:t>
      </w:r>
    </w:p>
    <w:p w14:paraId="7376A45A" w14:textId="01EA19CD" w:rsidR="0044292D" w:rsidRDefault="0057687C" w:rsidP="0057687C">
      <w:pPr>
        <w:numPr>
          <w:ilvl w:val="3"/>
          <w:numId w:val="2"/>
        </w:numPr>
      </w:pPr>
      <w:r>
        <w:t xml:space="preserve">Bay. A Bay is a window assembly extending from the main body of a building to permit increased light, provide </w:t>
      </w:r>
      <w:r>
        <w:t>multi-direction views, and articulate a building wall. Two Bays can connect around corners to create distinctive living space or terminate in an important axis.</w:t>
      </w:r>
      <w:r>
        <w:tab/>
      </w:r>
      <w:r>
        <w:tab/>
      </w:r>
    </w:p>
    <w:tbl>
      <w:tblPr>
        <w:tblStyle w:val="a1"/>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3900"/>
      </w:tblGrid>
      <w:tr w:rsidR="0044292D" w14:paraId="7BCD6C2E" w14:textId="77777777" w:rsidTr="0057687C">
        <w:trPr>
          <w:trHeight w:val="20"/>
        </w:trPr>
        <w:tc>
          <w:tcPr>
            <w:tcW w:w="9270" w:type="dxa"/>
            <w:gridSpan w:val="2"/>
            <w:shd w:val="clear" w:color="auto" w:fill="D9D9D9"/>
            <w:tcMar>
              <w:top w:w="100" w:type="dxa"/>
              <w:left w:w="100" w:type="dxa"/>
              <w:bottom w:w="100" w:type="dxa"/>
              <w:right w:w="100" w:type="dxa"/>
            </w:tcMar>
          </w:tcPr>
          <w:p w14:paraId="298C05F6" w14:textId="77777777" w:rsidR="0044292D" w:rsidRDefault="0057687C">
            <w:pPr>
              <w:widowControl w:val="0"/>
              <w:spacing w:line="240" w:lineRule="auto"/>
              <w:rPr>
                <w:b/>
              </w:rPr>
            </w:pPr>
            <w:r>
              <w:rPr>
                <w:b/>
              </w:rPr>
              <w:t>Dimensions</w:t>
            </w:r>
          </w:p>
        </w:tc>
      </w:tr>
      <w:tr w:rsidR="0044292D" w14:paraId="41CC20CD" w14:textId="77777777" w:rsidTr="0057687C">
        <w:trPr>
          <w:trHeight w:val="20"/>
        </w:trPr>
        <w:tc>
          <w:tcPr>
            <w:tcW w:w="5370" w:type="dxa"/>
            <w:shd w:val="clear" w:color="auto" w:fill="auto"/>
            <w:tcMar>
              <w:top w:w="100" w:type="dxa"/>
              <w:left w:w="100" w:type="dxa"/>
              <w:bottom w:w="100" w:type="dxa"/>
              <w:right w:w="100" w:type="dxa"/>
            </w:tcMar>
          </w:tcPr>
          <w:p w14:paraId="12BC1B4C" w14:textId="77777777" w:rsidR="0044292D" w:rsidRDefault="0057687C">
            <w:pPr>
              <w:widowControl w:val="0"/>
              <w:spacing w:line="240" w:lineRule="auto"/>
            </w:pPr>
            <w:r>
              <w:t>Width of Each Bay (max.)</w:t>
            </w:r>
          </w:p>
        </w:tc>
        <w:tc>
          <w:tcPr>
            <w:tcW w:w="3900" w:type="dxa"/>
            <w:shd w:val="clear" w:color="auto" w:fill="auto"/>
            <w:tcMar>
              <w:top w:w="100" w:type="dxa"/>
              <w:left w:w="100" w:type="dxa"/>
              <w:bottom w:w="100" w:type="dxa"/>
              <w:right w:w="100" w:type="dxa"/>
            </w:tcMar>
          </w:tcPr>
          <w:p w14:paraId="556FEC61" w14:textId="77777777" w:rsidR="0044292D" w:rsidRDefault="0057687C">
            <w:pPr>
              <w:widowControl w:val="0"/>
              <w:spacing w:line="240" w:lineRule="auto"/>
            </w:pPr>
            <w:r>
              <w:t>Greater of 20% of wall length or 12 ft</w:t>
            </w:r>
          </w:p>
        </w:tc>
      </w:tr>
      <w:tr w:rsidR="0044292D" w14:paraId="70C8ABA7" w14:textId="77777777" w:rsidTr="0057687C">
        <w:trPr>
          <w:trHeight w:val="20"/>
        </w:trPr>
        <w:tc>
          <w:tcPr>
            <w:tcW w:w="5370" w:type="dxa"/>
            <w:shd w:val="clear" w:color="auto" w:fill="auto"/>
            <w:tcMar>
              <w:top w:w="100" w:type="dxa"/>
              <w:left w:w="100" w:type="dxa"/>
              <w:bottom w:w="100" w:type="dxa"/>
              <w:right w:w="100" w:type="dxa"/>
            </w:tcMar>
          </w:tcPr>
          <w:p w14:paraId="4F1330F6" w14:textId="77777777" w:rsidR="0044292D" w:rsidRDefault="0057687C">
            <w:pPr>
              <w:widowControl w:val="0"/>
              <w:spacing w:line="240" w:lineRule="auto"/>
            </w:pPr>
            <w:r>
              <w:t>Depth (max.)</w:t>
            </w:r>
          </w:p>
        </w:tc>
        <w:tc>
          <w:tcPr>
            <w:tcW w:w="3900" w:type="dxa"/>
            <w:shd w:val="clear" w:color="auto" w:fill="auto"/>
            <w:tcMar>
              <w:top w:w="100" w:type="dxa"/>
              <w:left w:w="100" w:type="dxa"/>
              <w:bottom w:w="100" w:type="dxa"/>
              <w:right w:w="100" w:type="dxa"/>
            </w:tcMar>
          </w:tcPr>
          <w:p w14:paraId="2E4A3B10" w14:textId="77777777" w:rsidR="0044292D" w:rsidRDefault="0057687C">
            <w:pPr>
              <w:widowControl w:val="0"/>
              <w:spacing w:line="240" w:lineRule="auto"/>
            </w:pPr>
            <w:r>
              <w:t>3 ft</w:t>
            </w:r>
          </w:p>
        </w:tc>
      </w:tr>
      <w:tr w:rsidR="0044292D" w14:paraId="1649547F" w14:textId="77777777">
        <w:tc>
          <w:tcPr>
            <w:tcW w:w="5370" w:type="dxa"/>
            <w:shd w:val="clear" w:color="auto" w:fill="auto"/>
            <w:tcMar>
              <w:top w:w="100" w:type="dxa"/>
              <w:left w:w="100" w:type="dxa"/>
              <w:bottom w:w="100" w:type="dxa"/>
              <w:right w:w="100" w:type="dxa"/>
            </w:tcMar>
          </w:tcPr>
          <w:p w14:paraId="5D6E1383" w14:textId="77777777" w:rsidR="0044292D" w:rsidRDefault="0057687C">
            <w:pPr>
              <w:widowControl w:val="0"/>
              <w:spacing w:line="240" w:lineRule="auto"/>
            </w:pPr>
            <w:r>
              <w:t>Fenestration (min.)</w:t>
            </w:r>
          </w:p>
        </w:tc>
        <w:tc>
          <w:tcPr>
            <w:tcW w:w="3900" w:type="dxa"/>
            <w:shd w:val="clear" w:color="auto" w:fill="auto"/>
            <w:tcMar>
              <w:top w:w="100" w:type="dxa"/>
              <w:left w:w="100" w:type="dxa"/>
              <w:bottom w:w="100" w:type="dxa"/>
              <w:right w:w="100" w:type="dxa"/>
            </w:tcMar>
          </w:tcPr>
          <w:p w14:paraId="62EF6D84" w14:textId="77777777" w:rsidR="0044292D" w:rsidRDefault="0057687C">
            <w:pPr>
              <w:widowControl w:val="0"/>
              <w:spacing w:line="240" w:lineRule="auto"/>
            </w:pPr>
            <w:r>
              <w:t>60%</w:t>
            </w:r>
          </w:p>
        </w:tc>
      </w:tr>
      <w:tr w:rsidR="0044292D" w14:paraId="601A6F1D" w14:textId="77777777">
        <w:tc>
          <w:tcPr>
            <w:tcW w:w="5370" w:type="dxa"/>
            <w:shd w:val="clear" w:color="auto" w:fill="auto"/>
            <w:tcMar>
              <w:top w:w="100" w:type="dxa"/>
              <w:left w:w="100" w:type="dxa"/>
              <w:bottom w:w="100" w:type="dxa"/>
              <w:right w:w="100" w:type="dxa"/>
            </w:tcMar>
          </w:tcPr>
          <w:p w14:paraId="163B4310" w14:textId="77777777" w:rsidR="0044292D" w:rsidRDefault="0057687C">
            <w:pPr>
              <w:widowControl w:val="0"/>
              <w:spacing w:line="240" w:lineRule="auto"/>
            </w:pPr>
            <w:r>
              <w:t>Front Setback Encroachment at Ground Story (max.)</w:t>
            </w:r>
          </w:p>
        </w:tc>
        <w:tc>
          <w:tcPr>
            <w:tcW w:w="3900" w:type="dxa"/>
            <w:shd w:val="clear" w:color="auto" w:fill="auto"/>
            <w:tcMar>
              <w:top w:w="100" w:type="dxa"/>
              <w:left w:w="100" w:type="dxa"/>
              <w:bottom w:w="100" w:type="dxa"/>
              <w:right w:w="100" w:type="dxa"/>
            </w:tcMar>
          </w:tcPr>
          <w:p w14:paraId="7A8875C1" w14:textId="77777777" w:rsidR="0044292D" w:rsidRDefault="0057687C">
            <w:pPr>
              <w:widowControl w:val="0"/>
              <w:spacing w:line="240" w:lineRule="auto"/>
            </w:pPr>
            <w:r>
              <w:t>3 ft</w:t>
            </w:r>
          </w:p>
        </w:tc>
      </w:tr>
      <w:tr w:rsidR="0044292D" w14:paraId="7F499516" w14:textId="77777777">
        <w:tc>
          <w:tcPr>
            <w:tcW w:w="5370" w:type="dxa"/>
            <w:shd w:val="clear" w:color="auto" w:fill="auto"/>
            <w:tcMar>
              <w:top w:w="100" w:type="dxa"/>
              <w:left w:w="100" w:type="dxa"/>
              <w:bottom w:w="100" w:type="dxa"/>
              <w:right w:w="100" w:type="dxa"/>
            </w:tcMar>
          </w:tcPr>
          <w:p w14:paraId="71258B11" w14:textId="77777777" w:rsidR="0044292D" w:rsidRDefault="0057687C">
            <w:pPr>
              <w:widowControl w:val="0"/>
              <w:spacing w:line="240" w:lineRule="auto"/>
            </w:pPr>
            <w:r>
              <w:lastRenderedPageBreak/>
              <w:t>Front Setback Encroachment at Upper Story (max.)</w:t>
            </w:r>
          </w:p>
        </w:tc>
        <w:tc>
          <w:tcPr>
            <w:tcW w:w="3900" w:type="dxa"/>
            <w:shd w:val="clear" w:color="auto" w:fill="auto"/>
            <w:tcMar>
              <w:top w:w="100" w:type="dxa"/>
              <w:left w:w="100" w:type="dxa"/>
              <w:bottom w:w="100" w:type="dxa"/>
              <w:right w:w="100" w:type="dxa"/>
            </w:tcMar>
          </w:tcPr>
          <w:p w14:paraId="4854FBB8" w14:textId="77777777" w:rsidR="0044292D" w:rsidRDefault="0057687C">
            <w:pPr>
              <w:widowControl w:val="0"/>
              <w:spacing w:line="240" w:lineRule="auto"/>
            </w:pPr>
            <w:r>
              <w:t>100%</w:t>
            </w:r>
          </w:p>
        </w:tc>
      </w:tr>
      <w:tr w:rsidR="0044292D" w14:paraId="37452BEB" w14:textId="77777777">
        <w:tc>
          <w:tcPr>
            <w:tcW w:w="5370" w:type="dxa"/>
            <w:shd w:val="clear" w:color="auto" w:fill="auto"/>
            <w:tcMar>
              <w:top w:w="100" w:type="dxa"/>
              <w:left w:w="100" w:type="dxa"/>
              <w:bottom w:w="100" w:type="dxa"/>
              <w:right w:w="100" w:type="dxa"/>
            </w:tcMar>
          </w:tcPr>
          <w:p w14:paraId="44E965A0" w14:textId="77777777" w:rsidR="0044292D" w:rsidRDefault="0057687C">
            <w:pPr>
              <w:widowControl w:val="0"/>
              <w:spacing w:line="240" w:lineRule="auto"/>
            </w:pPr>
            <w:r>
              <w:t>Clearance above Grade at Upper Story (min.)</w:t>
            </w:r>
          </w:p>
        </w:tc>
        <w:tc>
          <w:tcPr>
            <w:tcW w:w="3900" w:type="dxa"/>
            <w:shd w:val="clear" w:color="auto" w:fill="auto"/>
            <w:tcMar>
              <w:top w:w="100" w:type="dxa"/>
              <w:left w:w="100" w:type="dxa"/>
              <w:bottom w:w="100" w:type="dxa"/>
              <w:right w:w="100" w:type="dxa"/>
            </w:tcMar>
          </w:tcPr>
          <w:p w14:paraId="48EC960C" w14:textId="77777777" w:rsidR="0044292D" w:rsidRDefault="0057687C">
            <w:pPr>
              <w:widowControl w:val="0"/>
              <w:spacing w:line="240" w:lineRule="auto"/>
            </w:pPr>
            <w:r>
              <w:t>Top of the Ground Story</w:t>
            </w:r>
          </w:p>
        </w:tc>
      </w:tr>
    </w:tbl>
    <w:p w14:paraId="73B29CE0" w14:textId="77777777" w:rsidR="0044292D" w:rsidRDefault="0044292D"/>
    <w:p w14:paraId="7C8C0D7A" w14:textId="5064F037" w:rsidR="0044292D" w:rsidRDefault="0057687C" w:rsidP="0057687C">
      <w:pPr>
        <w:numPr>
          <w:ilvl w:val="3"/>
          <w:numId w:val="2"/>
        </w:numPr>
      </w:pPr>
      <w:r>
        <w:t>Balcony. An unenclosed platform with a railing that provides outdoor amenity space on upper stories.</w:t>
      </w: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770"/>
      </w:tblGrid>
      <w:tr w:rsidR="0044292D" w14:paraId="7DC2D7BB" w14:textId="77777777" w:rsidTr="0057687C">
        <w:trPr>
          <w:trHeight w:val="20"/>
        </w:trPr>
        <w:tc>
          <w:tcPr>
            <w:tcW w:w="9345" w:type="dxa"/>
            <w:gridSpan w:val="2"/>
            <w:shd w:val="clear" w:color="auto" w:fill="D9D9D9"/>
            <w:tcMar>
              <w:top w:w="100" w:type="dxa"/>
              <w:left w:w="100" w:type="dxa"/>
              <w:bottom w:w="100" w:type="dxa"/>
              <w:right w:w="100" w:type="dxa"/>
            </w:tcMar>
          </w:tcPr>
          <w:p w14:paraId="23EE0858" w14:textId="77777777" w:rsidR="0044292D" w:rsidRDefault="0057687C">
            <w:pPr>
              <w:widowControl w:val="0"/>
              <w:spacing w:line="240" w:lineRule="auto"/>
              <w:rPr>
                <w:b/>
              </w:rPr>
            </w:pPr>
            <w:r>
              <w:rPr>
                <w:b/>
              </w:rPr>
              <w:t>Dimensions</w:t>
            </w:r>
          </w:p>
        </w:tc>
      </w:tr>
      <w:tr w:rsidR="0044292D" w14:paraId="1DCB65D3" w14:textId="77777777">
        <w:tc>
          <w:tcPr>
            <w:tcW w:w="4575" w:type="dxa"/>
            <w:shd w:val="clear" w:color="auto" w:fill="auto"/>
            <w:tcMar>
              <w:top w:w="100" w:type="dxa"/>
              <w:left w:w="100" w:type="dxa"/>
              <w:bottom w:w="100" w:type="dxa"/>
              <w:right w:w="100" w:type="dxa"/>
            </w:tcMar>
          </w:tcPr>
          <w:p w14:paraId="36DB10E1" w14:textId="77777777" w:rsidR="0044292D" w:rsidRDefault="0057687C">
            <w:pPr>
              <w:widowControl w:val="0"/>
              <w:spacing w:line="240" w:lineRule="auto"/>
            </w:pPr>
            <w:r>
              <w:t>Width of Each Balcony (min. / max.)</w:t>
            </w:r>
          </w:p>
        </w:tc>
        <w:tc>
          <w:tcPr>
            <w:tcW w:w="4770" w:type="dxa"/>
            <w:shd w:val="clear" w:color="auto" w:fill="auto"/>
            <w:tcMar>
              <w:top w:w="100" w:type="dxa"/>
              <w:left w:w="100" w:type="dxa"/>
              <w:bottom w:w="100" w:type="dxa"/>
              <w:right w:w="100" w:type="dxa"/>
            </w:tcMar>
          </w:tcPr>
          <w:p w14:paraId="0D23499B" w14:textId="77777777" w:rsidR="0044292D" w:rsidRDefault="0057687C">
            <w:pPr>
              <w:widowControl w:val="0"/>
              <w:spacing w:line="240" w:lineRule="auto"/>
            </w:pPr>
            <w:r>
              <w:t>5 ft / Greater of 20% of wall length or 12 ft</w:t>
            </w:r>
          </w:p>
        </w:tc>
      </w:tr>
      <w:tr w:rsidR="0044292D" w14:paraId="29EC4E73" w14:textId="77777777">
        <w:tc>
          <w:tcPr>
            <w:tcW w:w="4575" w:type="dxa"/>
            <w:shd w:val="clear" w:color="auto" w:fill="auto"/>
            <w:tcMar>
              <w:top w:w="100" w:type="dxa"/>
              <w:left w:w="100" w:type="dxa"/>
              <w:bottom w:w="100" w:type="dxa"/>
              <w:right w:w="100" w:type="dxa"/>
            </w:tcMar>
          </w:tcPr>
          <w:p w14:paraId="1F0E1111" w14:textId="77777777" w:rsidR="0044292D" w:rsidRDefault="0057687C">
            <w:pPr>
              <w:widowControl w:val="0"/>
              <w:spacing w:line="240" w:lineRule="auto"/>
            </w:pPr>
            <w:r>
              <w:t>Depth (min. / max.)</w:t>
            </w:r>
          </w:p>
        </w:tc>
        <w:tc>
          <w:tcPr>
            <w:tcW w:w="4770" w:type="dxa"/>
            <w:shd w:val="clear" w:color="auto" w:fill="auto"/>
            <w:tcMar>
              <w:top w:w="100" w:type="dxa"/>
              <w:left w:w="100" w:type="dxa"/>
              <w:bottom w:w="100" w:type="dxa"/>
              <w:right w:w="100" w:type="dxa"/>
            </w:tcMar>
          </w:tcPr>
          <w:p w14:paraId="79B1829A" w14:textId="77777777" w:rsidR="0044292D" w:rsidRDefault="0057687C">
            <w:pPr>
              <w:widowControl w:val="0"/>
              <w:spacing w:line="240" w:lineRule="auto"/>
            </w:pPr>
            <w:r>
              <w:t>3 ft / 8 ft</w:t>
            </w:r>
          </w:p>
        </w:tc>
      </w:tr>
      <w:tr w:rsidR="0044292D" w14:paraId="71A21D0B" w14:textId="77777777">
        <w:tc>
          <w:tcPr>
            <w:tcW w:w="4575" w:type="dxa"/>
            <w:shd w:val="clear" w:color="auto" w:fill="auto"/>
            <w:tcMar>
              <w:top w:w="100" w:type="dxa"/>
              <w:left w:w="100" w:type="dxa"/>
              <w:bottom w:w="100" w:type="dxa"/>
              <w:right w:w="100" w:type="dxa"/>
            </w:tcMar>
          </w:tcPr>
          <w:p w14:paraId="698A5908" w14:textId="77777777" w:rsidR="0044292D" w:rsidRDefault="0057687C">
            <w:pPr>
              <w:widowControl w:val="0"/>
              <w:spacing w:line="240" w:lineRule="auto"/>
            </w:pPr>
            <w:r>
              <w:t>Clearance above Grade (min.)</w:t>
            </w:r>
          </w:p>
        </w:tc>
        <w:tc>
          <w:tcPr>
            <w:tcW w:w="4770" w:type="dxa"/>
            <w:shd w:val="clear" w:color="auto" w:fill="auto"/>
            <w:tcMar>
              <w:top w:w="100" w:type="dxa"/>
              <w:left w:w="100" w:type="dxa"/>
              <w:bottom w:w="100" w:type="dxa"/>
              <w:right w:w="100" w:type="dxa"/>
            </w:tcMar>
          </w:tcPr>
          <w:p w14:paraId="7B867E24" w14:textId="77777777" w:rsidR="0044292D" w:rsidRDefault="0057687C">
            <w:pPr>
              <w:widowControl w:val="0"/>
              <w:spacing w:line="240" w:lineRule="auto"/>
            </w:pPr>
            <w:r>
              <w:t>Top of the Ground Story</w:t>
            </w:r>
          </w:p>
        </w:tc>
      </w:tr>
      <w:tr w:rsidR="0044292D" w14:paraId="48261751" w14:textId="77777777">
        <w:tc>
          <w:tcPr>
            <w:tcW w:w="4575" w:type="dxa"/>
            <w:shd w:val="clear" w:color="auto" w:fill="auto"/>
            <w:tcMar>
              <w:top w:w="100" w:type="dxa"/>
              <w:left w:w="100" w:type="dxa"/>
              <w:bottom w:w="100" w:type="dxa"/>
              <w:right w:w="100" w:type="dxa"/>
            </w:tcMar>
          </w:tcPr>
          <w:p w14:paraId="73411379" w14:textId="77777777" w:rsidR="0044292D" w:rsidRDefault="0057687C">
            <w:pPr>
              <w:widowControl w:val="0"/>
              <w:spacing w:line="240" w:lineRule="auto"/>
            </w:pPr>
            <w:r>
              <w:t>Front Setback Encroachment (max.)</w:t>
            </w:r>
          </w:p>
        </w:tc>
        <w:tc>
          <w:tcPr>
            <w:tcW w:w="4770" w:type="dxa"/>
            <w:shd w:val="clear" w:color="auto" w:fill="auto"/>
            <w:tcMar>
              <w:top w:w="100" w:type="dxa"/>
              <w:left w:w="100" w:type="dxa"/>
              <w:bottom w:w="100" w:type="dxa"/>
              <w:right w:w="100" w:type="dxa"/>
            </w:tcMar>
          </w:tcPr>
          <w:p w14:paraId="2294F920" w14:textId="77777777" w:rsidR="0044292D" w:rsidRDefault="0057687C">
            <w:pPr>
              <w:widowControl w:val="0"/>
              <w:spacing w:line="240" w:lineRule="auto"/>
            </w:pPr>
            <w:r>
              <w:t>100%</w:t>
            </w:r>
          </w:p>
        </w:tc>
      </w:tr>
      <w:tr w:rsidR="0044292D" w14:paraId="5D288F7B" w14:textId="77777777">
        <w:tc>
          <w:tcPr>
            <w:tcW w:w="4575" w:type="dxa"/>
            <w:shd w:val="clear" w:color="auto" w:fill="auto"/>
            <w:tcMar>
              <w:top w:w="100" w:type="dxa"/>
              <w:left w:w="100" w:type="dxa"/>
              <w:bottom w:w="100" w:type="dxa"/>
              <w:right w:w="100" w:type="dxa"/>
            </w:tcMar>
          </w:tcPr>
          <w:p w14:paraId="78595E55" w14:textId="77777777" w:rsidR="0044292D" w:rsidRDefault="0057687C">
            <w:pPr>
              <w:widowControl w:val="0"/>
              <w:spacing w:line="240" w:lineRule="auto"/>
            </w:pPr>
            <w:r>
              <w:t>Extension into the public right of way (max.)</w:t>
            </w:r>
          </w:p>
        </w:tc>
        <w:tc>
          <w:tcPr>
            <w:tcW w:w="4770" w:type="dxa"/>
            <w:shd w:val="clear" w:color="auto" w:fill="auto"/>
            <w:tcMar>
              <w:top w:w="100" w:type="dxa"/>
              <w:left w:w="100" w:type="dxa"/>
              <w:bottom w:w="100" w:type="dxa"/>
              <w:right w:w="100" w:type="dxa"/>
            </w:tcMar>
          </w:tcPr>
          <w:p w14:paraId="1784CFE7" w14:textId="77777777" w:rsidR="0044292D" w:rsidRDefault="0057687C">
            <w:pPr>
              <w:widowControl w:val="0"/>
              <w:spacing w:line="240" w:lineRule="auto"/>
            </w:pPr>
            <w:r>
              <w:t>3 ft</w:t>
            </w:r>
          </w:p>
        </w:tc>
      </w:tr>
    </w:tbl>
    <w:p w14:paraId="78155538" w14:textId="77777777" w:rsidR="0044292D" w:rsidRDefault="0044292D"/>
    <w:p w14:paraId="12C417A9" w14:textId="45507528" w:rsidR="0044292D" w:rsidRDefault="0057687C" w:rsidP="0057687C">
      <w:pPr>
        <w:numPr>
          <w:ilvl w:val="3"/>
          <w:numId w:val="2"/>
        </w:numPr>
      </w:pPr>
      <w:r>
        <w:t>Awning. A roof-like covering of canvas or other material attached to a metal or other frame and supported entirely from a building or other structure.</w:t>
      </w:r>
    </w:p>
    <w:tbl>
      <w:tblPr>
        <w:tblStyle w:val="a3"/>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545"/>
      </w:tblGrid>
      <w:tr w:rsidR="0044292D" w14:paraId="4823CA8D" w14:textId="77777777" w:rsidTr="0057687C">
        <w:trPr>
          <w:trHeight w:val="20"/>
        </w:trPr>
        <w:tc>
          <w:tcPr>
            <w:tcW w:w="9390" w:type="dxa"/>
            <w:gridSpan w:val="2"/>
            <w:shd w:val="clear" w:color="auto" w:fill="D9D9D9"/>
            <w:tcMar>
              <w:top w:w="100" w:type="dxa"/>
              <w:left w:w="100" w:type="dxa"/>
              <w:bottom w:w="100" w:type="dxa"/>
              <w:right w:w="100" w:type="dxa"/>
            </w:tcMar>
          </w:tcPr>
          <w:p w14:paraId="07CC6AA4" w14:textId="77777777" w:rsidR="0044292D" w:rsidRDefault="0057687C">
            <w:pPr>
              <w:widowControl w:val="0"/>
              <w:spacing w:line="240" w:lineRule="auto"/>
            </w:pPr>
            <w:r>
              <w:rPr>
                <w:b/>
              </w:rPr>
              <w:t>Dimensions</w:t>
            </w:r>
          </w:p>
        </w:tc>
      </w:tr>
      <w:tr w:rsidR="0044292D" w14:paraId="54735CEE" w14:textId="77777777">
        <w:tc>
          <w:tcPr>
            <w:tcW w:w="4845" w:type="dxa"/>
            <w:shd w:val="clear" w:color="auto" w:fill="auto"/>
            <w:tcMar>
              <w:top w:w="100" w:type="dxa"/>
              <w:left w:w="100" w:type="dxa"/>
              <w:bottom w:w="100" w:type="dxa"/>
              <w:right w:w="100" w:type="dxa"/>
            </w:tcMar>
          </w:tcPr>
          <w:p w14:paraId="201E6D2C" w14:textId="77777777" w:rsidR="0044292D" w:rsidRDefault="0057687C">
            <w:pPr>
              <w:widowControl w:val="0"/>
              <w:spacing w:line="240" w:lineRule="auto"/>
            </w:pPr>
            <w:r>
              <w:t>Width of Each Awning</w:t>
            </w:r>
          </w:p>
        </w:tc>
        <w:tc>
          <w:tcPr>
            <w:tcW w:w="4545" w:type="dxa"/>
            <w:shd w:val="clear" w:color="auto" w:fill="auto"/>
            <w:tcMar>
              <w:top w:w="100" w:type="dxa"/>
              <w:left w:w="100" w:type="dxa"/>
              <w:bottom w:w="100" w:type="dxa"/>
              <w:right w:w="100" w:type="dxa"/>
            </w:tcMar>
          </w:tcPr>
          <w:p w14:paraId="4A4F04AE" w14:textId="77777777" w:rsidR="0044292D" w:rsidRDefault="0057687C">
            <w:pPr>
              <w:widowControl w:val="0"/>
              <w:spacing w:line="240" w:lineRule="auto"/>
            </w:pPr>
            <w:r>
              <w:t>–</w:t>
            </w:r>
          </w:p>
        </w:tc>
      </w:tr>
      <w:tr w:rsidR="0044292D" w14:paraId="04920DB5" w14:textId="77777777">
        <w:tc>
          <w:tcPr>
            <w:tcW w:w="4845" w:type="dxa"/>
            <w:shd w:val="clear" w:color="auto" w:fill="auto"/>
            <w:tcMar>
              <w:top w:w="100" w:type="dxa"/>
              <w:left w:w="100" w:type="dxa"/>
              <w:bottom w:w="100" w:type="dxa"/>
              <w:right w:w="100" w:type="dxa"/>
            </w:tcMar>
          </w:tcPr>
          <w:p w14:paraId="68C0E881" w14:textId="77777777" w:rsidR="0044292D" w:rsidRDefault="0057687C">
            <w:pPr>
              <w:widowControl w:val="0"/>
              <w:spacing w:line="240" w:lineRule="auto"/>
            </w:pPr>
            <w:r>
              <w:t>Depth (min.)</w:t>
            </w:r>
          </w:p>
        </w:tc>
        <w:tc>
          <w:tcPr>
            <w:tcW w:w="4545" w:type="dxa"/>
            <w:shd w:val="clear" w:color="auto" w:fill="auto"/>
            <w:tcMar>
              <w:top w:w="100" w:type="dxa"/>
              <w:left w:w="100" w:type="dxa"/>
              <w:bottom w:w="100" w:type="dxa"/>
              <w:right w:w="100" w:type="dxa"/>
            </w:tcMar>
          </w:tcPr>
          <w:p w14:paraId="4BA49918" w14:textId="77777777" w:rsidR="0044292D" w:rsidRDefault="0057687C">
            <w:pPr>
              <w:widowControl w:val="0"/>
              <w:spacing w:line="240" w:lineRule="auto"/>
            </w:pPr>
            <w:r>
              <w:t>3 ft</w:t>
            </w:r>
          </w:p>
        </w:tc>
      </w:tr>
      <w:tr w:rsidR="0044292D" w14:paraId="003DCA19" w14:textId="77777777">
        <w:tc>
          <w:tcPr>
            <w:tcW w:w="4845" w:type="dxa"/>
            <w:shd w:val="clear" w:color="auto" w:fill="auto"/>
            <w:tcMar>
              <w:top w:w="100" w:type="dxa"/>
              <w:left w:w="100" w:type="dxa"/>
              <w:bottom w:w="100" w:type="dxa"/>
              <w:right w:w="100" w:type="dxa"/>
            </w:tcMar>
          </w:tcPr>
          <w:p w14:paraId="72248003" w14:textId="77777777" w:rsidR="0044292D" w:rsidRDefault="0057687C">
            <w:pPr>
              <w:widowControl w:val="0"/>
              <w:spacing w:line="240" w:lineRule="auto"/>
            </w:pPr>
            <w:r>
              <w:t>Clearance above Grade (min.)</w:t>
            </w:r>
          </w:p>
        </w:tc>
        <w:tc>
          <w:tcPr>
            <w:tcW w:w="4545" w:type="dxa"/>
            <w:shd w:val="clear" w:color="auto" w:fill="auto"/>
            <w:tcMar>
              <w:top w:w="100" w:type="dxa"/>
              <w:left w:w="100" w:type="dxa"/>
              <w:bottom w:w="100" w:type="dxa"/>
              <w:right w:w="100" w:type="dxa"/>
            </w:tcMar>
          </w:tcPr>
          <w:p w14:paraId="7D4FFA2F" w14:textId="77777777" w:rsidR="0044292D" w:rsidRDefault="0057687C">
            <w:pPr>
              <w:widowControl w:val="0"/>
              <w:spacing w:line="240" w:lineRule="auto"/>
            </w:pPr>
            <w:r>
              <w:t>8 ft</w:t>
            </w:r>
          </w:p>
        </w:tc>
      </w:tr>
      <w:tr w:rsidR="0044292D" w14:paraId="03BD4A5C" w14:textId="77777777">
        <w:tc>
          <w:tcPr>
            <w:tcW w:w="4845" w:type="dxa"/>
            <w:shd w:val="clear" w:color="auto" w:fill="auto"/>
            <w:tcMar>
              <w:top w:w="100" w:type="dxa"/>
              <w:left w:w="100" w:type="dxa"/>
              <w:bottom w:w="100" w:type="dxa"/>
              <w:right w:w="100" w:type="dxa"/>
            </w:tcMar>
          </w:tcPr>
          <w:p w14:paraId="5D7EDFA5" w14:textId="77777777" w:rsidR="0044292D" w:rsidRDefault="0057687C">
            <w:pPr>
              <w:widowControl w:val="0"/>
              <w:spacing w:line="240" w:lineRule="auto"/>
            </w:pPr>
            <w:r>
              <w:t>Front Setback Encroachment (max.)</w:t>
            </w:r>
          </w:p>
        </w:tc>
        <w:tc>
          <w:tcPr>
            <w:tcW w:w="4545" w:type="dxa"/>
            <w:shd w:val="clear" w:color="auto" w:fill="auto"/>
            <w:tcMar>
              <w:top w:w="100" w:type="dxa"/>
              <w:left w:w="100" w:type="dxa"/>
              <w:bottom w:w="100" w:type="dxa"/>
              <w:right w:w="100" w:type="dxa"/>
            </w:tcMar>
          </w:tcPr>
          <w:p w14:paraId="6756B07B" w14:textId="77777777" w:rsidR="0044292D" w:rsidRDefault="0057687C">
            <w:pPr>
              <w:widowControl w:val="0"/>
              <w:spacing w:line="240" w:lineRule="auto"/>
            </w:pPr>
            <w:r>
              <w:t>100%</w:t>
            </w:r>
          </w:p>
        </w:tc>
      </w:tr>
      <w:tr w:rsidR="0044292D" w14:paraId="2C6C967A" w14:textId="77777777">
        <w:tc>
          <w:tcPr>
            <w:tcW w:w="4845" w:type="dxa"/>
            <w:shd w:val="clear" w:color="auto" w:fill="auto"/>
            <w:tcMar>
              <w:top w:w="100" w:type="dxa"/>
              <w:left w:w="100" w:type="dxa"/>
              <w:bottom w:w="100" w:type="dxa"/>
              <w:right w:w="100" w:type="dxa"/>
            </w:tcMar>
          </w:tcPr>
          <w:p w14:paraId="0FDA5F93" w14:textId="77777777" w:rsidR="0044292D" w:rsidRDefault="0057687C">
            <w:pPr>
              <w:widowControl w:val="0"/>
              <w:spacing w:line="240" w:lineRule="auto"/>
            </w:pPr>
            <w:r>
              <w:t>Extension into the public right of way (max.)</w:t>
            </w:r>
          </w:p>
        </w:tc>
        <w:tc>
          <w:tcPr>
            <w:tcW w:w="4545" w:type="dxa"/>
            <w:shd w:val="clear" w:color="auto" w:fill="auto"/>
            <w:tcMar>
              <w:top w:w="100" w:type="dxa"/>
              <w:left w:w="100" w:type="dxa"/>
              <w:bottom w:w="100" w:type="dxa"/>
              <w:right w:w="100" w:type="dxa"/>
            </w:tcMar>
          </w:tcPr>
          <w:p w14:paraId="47914E10" w14:textId="77777777" w:rsidR="0044292D" w:rsidRDefault="0057687C">
            <w:pPr>
              <w:widowControl w:val="0"/>
              <w:spacing w:line="240" w:lineRule="auto"/>
            </w:pPr>
            <w:r>
              <w:t>10 ft</w:t>
            </w:r>
          </w:p>
        </w:tc>
      </w:tr>
    </w:tbl>
    <w:p w14:paraId="5CD597EA" w14:textId="77777777" w:rsidR="0044292D" w:rsidRDefault="0044292D"/>
    <w:p w14:paraId="5A231217" w14:textId="1BE826C8" w:rsidR="0044292D" w:rsidRDefault="0057687C" w:rsidP="0057687C">
      <w:pPr>
        <w:numPr>
          <w:ilvl w:val="3"/>
          <w:numId w:val="2"/>
        </w:numPr>
      </w:pPr>
      <w:r>
        <w:t>Canopy. A wall-mounted structure that provides shade and weather protection over a storefront or building entrance.</w:t>
      </w:r>
    </w:p>
    <w:tbl>
      <w:tblPr>
        <w:tblStyle w:val="a4"/>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545"/>
      </w:tblGrid>
      <w:tr w:rsidR="0044292D" w14:paraId="76B00494" w14:textId="77777777" w:rsidTr="0057687C">
        <w:trPr>
          <w:trHeight w:val="20"/>
        </w:trPr>
        <w:tc>
          <w:tcPr>
            <w:tcW w:w="9405" w:type="dxa"/>
            <w:gridSpan w:val="2"/>
            <w:shd w:val="clear" w:color="auto" w:fill="D9D9D9"/>
            <w:tcMar>
              <w:top w:w="100" w:type="dxa"/>
              <w:left w:w="100" w:type="dxa"/>
              <w:bottom w:w="100" w:type="dxa"/>
              <w:right w:w="100" w:type="dxa"/>
            </w:tcMar>
          </w:tcPr>
          <w:p w14:paraId="0E79EE1A" w14:textId="77777777" w:rsidR="0044292D" w:rsidRDefault="0057687C">
            <w:pPr>
              <w:widowControl w:val="0"/>
              <w:spacing w:line="240" w:lineRule="auto"/>
            </w:pPr>
            <w:r>
              <w:rPr>
                <w:b/>
              </w:rPr>
              <w:t>Dimensions</w:t>
            </w:r>
          </w:p>
        </w:tc>
      </w:tr>
      <w:tr w:rsidR="0044292D" w14:paraId="48A6AA3A" w14:textId="77777777">
        <w:tc>
          <w:tcPr>
            <w:tcW w:w="4860" w:type="dxa"/>
            <w:shd w:val="clear" w:color="auto" w:fill="auto"/>
            <w:tcMar>
              <w:top w:w="100" w:type="dxa"/>
              <w:left w:w="100" w:type="dxa"/>
              <w:bottom w:w="100" w:type="dxa"/>
              <w:right w:w="100" w:type="dxa"/>
            </w:tcMar>
          </w:tcPr>
          <w:p w14:paraId="59AC9740" w14:textId="77777777" w:rsidR="0044292D" w:rsidRDefault="0057687C">
            <w:pPr>
              <w:widowControl w:val="0"/>
              <w:spacing w:line="240" w:lineRule="auto"/>
            </w:pPr>
            <w:r>
              <w:t>Width of Each Canopy (min.)</w:t>
            </w:r>
          </w:p>
        </w:tc>
        <w:tc>
          <w:tcPr>
            <w:tcW w:w="4545" w:type="dxa"/>
            <w:shd w:val="clear" w:color="auto" w:fill="auto"/>
            <w:tcMar>
              <w:top w:w="100" w:type="dxa"/>
              <w:left w:w="100" w:type="dxa"/>
              <w:bottom w:w="100" w:type="dxa"/>
              <w:right w:w="100" w:type="dxa"/>
            </w:tcMar>
          </w:tcPr>
          <w:p w14:paraId="4D336B42" w14:textId="77777777" w:rsidR="0044292D" w:rsidRDefault="0057687C">
            <w:pPr>
              <w:widowControl w:val="0"/>
              <w:spacing w:line="240" w:lineRule="auto"/>
            </w:pPr>
            <w:r>
              <w:t>–</w:t>
            </w:r>
          </w:p>
        </w:tc>
      </w:tr>
      <w:tr w:rsidR="0044292D" w14:paraId="4690A7FA" w14:textId="77777777">
        <w:tc>
          <w:tcPr>
            <w:tcW w:w="4860" w:type="dxa"/>
            <w:shd w:val="clear" w:color="auto" w:fill="auto"/>
            <w:tcMar>
              <w:top w:w="100" w:type="dxa"/>
              <w:left w:w="100" w:type="dxa"/>
              <w:bottom w:w="100" w:type="dxa"/>
              <w:right w:w="100" w:type="dxa"/>
            </w:tcMar>
          </w:tcPr>
          <w:p w14:paraId="3CDD5873" w14:textId="77777777" w:rsidR="0044292D" w:rsidRDefault="0057687C">
            <w:pPr>
              <w:widowControl w:val="0"/>
              <w:spacing w:line="240" w:lineRule="auto"/>
            </w:pPr>
            <w:r>
              <w:t>Depth (min.)</w:t>
            </w:r>
          </w:p>
        </w:tc>
        <w:tc>
          <w:tcPr>
            <w:tcW w:w="4545" w:type="dxa"/>
            <w:shd w:val="clear" w:color="auto" w:fill="auto"/>
            <w:tcMar>
              <w:top w:w="100" w:type="dxa"/>
              <w:left w:w="100" w:type="dxa"/>
              <w:bottom w:w="100" w:type="dxa"/>
              <w:right w:w="100" w:type="dxa"/>
            </w:tcMar>
          </w:tcPr>
          <w:p w14:paraId="12970467" w14:textId="77777777" w:rsidR="0044292D" w:rsidRDefault="0057687C">
            <w:pPr>
              <w:widowControl w:val="0"/>
              <w:spacing w:line="240" w:lineRule="auto"/>
            </w:pPr>
            <w:r>
              <w:t>3 ft</w:t>
            </w:r>
          </w:p>
        </w:tc>
      </w:tr>
      <w:tr w:rsidR="0044292D" w14:paraId="3799844E" w14:textId="77777777">
        <w:tc>
          <w:tcPr>
            <w:tcW w:w="4860" w:type="dxa"/>
            <w:shd w:val="clear" w:color="auto" w:fill="auto"/>
            <w:tcMar>
              <w:top w:w="100" w:type="dxa"/>
              <w:left w:w="100" w:type="dxa"/>
              <w:bottom w:w="100" w:type="dxa"/>
              <w:right w:w="100" w:type="dxa"/>
            </w:tcMar>
          </w:tcPr>
          <w:p w14:paraId="36890361" w14:textId="77777777" w:rsidR="0044292D" w:rsidRDefault="0057687C">
            <w:pPr>
              <w:widowControl w:val="0"/>
              <w:spacing w:line="240" w:lineRule="auto"/>
            </w:pPr>
            <w:r>
              <w:t>Clearance above Ground Story (min.)</w:t>
            </w:r>
          </w:p>
        </w:tc>
        <w:tc>
          <w:tcPr>
            <w:tcW w:w="4545" w:type="dxa"/>
            <w:shd w:val="clear" w:color="auto" w:fill="auto"/>
            <w:tcMar>
              <w:top w:w="100" w:type="dxa"/>
              <w:left w:w="100" w:type="dxa"/>
              <w:bottom w:w="100" w:type="dxa"/>
              <w:right w:w="100" w:type="dxa"/>
            </w:tcMar>
          </w:tcPr>
          <w:p w14:paraId="415366BF" w14:textId="77777777" w:rsidR="0044292D" w:rsidRDefault="0057687C">
            <w:pPr>
              <w:widowControl w:val="0"/>
              <w:spacing w:line="240" w:lineRule="auto"/>
            </w:pPr>
            <w:r>
              <w:t>8 ft</w:t>
            </w:r>
          </w:p>
        </w:tc>
      </w:tr>
      <w:tr w:rsidR="0044292D" w14:paraId="09FFF7D4" w14:textId="77777777">
        <w:tc>
          <w:tcPr>
            <w:tcW w:w="4860" w:type="dxa"/>
            <w:shd w:val="clear" w:color="auto" w:fill="auto"/>
            <w:tcMar>
              <w:top w:w="100" w:type="dxa"/>
              <w:left w:w="100" w:type="dxa"/>
              <w:bottom w:w="100" w:type="dxa"/>
              <w:right w:w="100" w:type="dxa"/>
            </w:tcMar>
          </w:tcPr>
          <w:p w14:paraId="177572CA" w14:textId="77777777" w:rsidR="0044292D" w:rsidRDefault="0057687C">
            <w:pPr>
              <w:widowControl w:val="0"/>
              <w:spacing w:line="240" w:lineRule="auto"/>
            </w:pPr>
            <w:r>
              <w:t>Front Setback Encroachment (max.)</w:t>
            </w:r>
          </w:p>
        </w:tc>
        <w:tc>
          <w:tcPr>
            <w:tcW w:w="4545" w:type="dxa"/>
            <w:shd w:val="clear" w:color="auto" w:fill="auto"/>
            <w:tcMar>
              <w:top w:w="100" w:type="dxa"/>
              <w:left w:w="100" w:type="dxa"/>
              <w:bottom w:w="100" w:type="dxa"/>
              <w:right w:w="100" w:type="dxa"/>
            </w:tcMar>
          </w:tcPr>
          <w:p w14:paraId="0FC169AE" w14:textId="77777777" w:rsidR="0044292D" w:rsidRDefault="0057687C">
            <w:pPr>
              <w:widowControl w:val="0"/>
              <w:spacing w:line="240" w:lineRule="auto"/>
            </w:pPr>
            <w:r>
              <w:t>100%</w:t>
            </w:r>
          </w:p>
        </w:tc>
      </w:tr>
      <w:tr w:rsidR="0044292D" w14:paraId="10A916E4" w14:textId="77777777">
        <w:tc>
          <w:tcPr>
            <w:tcW w:w="4860" w:type="dxa"/>
            <w:shd w:val="clear" w:color="auto" w:fill="auto"/>
            <w:tcMar>
              <w:top w:w="100" w:type="dxa"/>
              <w:left w:w="100" w:type="dxa"/>
              <w:bottom w:w="100" w:type="dxa"/>
              <w:right w:w="100" w:type="dxa"/>
            </w:tcMar>
          </w:tcPr>
          <w:p w14:paraId="3BD33BA9" w14:textId="77777777" w:rsidR="0044292D" w:rsidRDefault="0057687C">
            <w:pPr>
              <w:widowControl w:val="0"/>
              <w:spacing w:line="240" w:lineRule="auto"/>
            </w:pPr>
            <w:r>
              <w:t>Extension into the public right of way (max.)</w:t>
            </w:r>
          </w:p>
        </w:tc>
        <w:tc>
          <w:tcPr>
            <w:tcW w:w="4545" w:type="dxa"/>
            <w:shd w:val="clear" w:color="auto" w:fill="auto"/>
            <w:tcMar>
              <w:top w:w="100" w:type="dxa"/>
              <w:left w:w="100" w:type="dxa"/>
              <w:bottom w:w="100" w:type="dxa"/>
              <w:right w:w="100" w:type="dxa"/>
            </w:tcMar>
          </w:tcPr>
          <w:p w14:paraId="31A48C5A" w14:textId="77777777" w:rsidR="0044292D" w:rsidRDefault="0057687C">
            <w:pPr>
              <w:widowControl w:val="0"/>
              <w:spacing w:line="240" w:lineRule="auto"/>
            </w:pPr>
            <w:r>
              <w:t>3 ft</w:t>
            </w:r>
          </w:p>
        </w:tc>
      </w:tr>
    </w:tbl>
    <w:p w14:paraId="41DFD32A" w14:textId="77777777" w:rsidR="0044292D" w:rsidRDefault="0044292D"/>
    <w:p w14:paraId="42B4BDC9" w14:textId="77777777" w:rsidR="0044292D" w:rsidRDefault="0044292D"/>
    <w:p w14:paraId="2AE1A575" w14:textId="77777777" w:rsidR="0044292D" w:rsidRDefault="0057687C">
      <w:pPr>
        <w:numPr>
          <w:ilvl w:val="1"/>
          <w:numId w:val="2"/>
        </w:numPr>
      </w:pPr>
      <w:r>
        <w:t>Facade Articulation</w:t>
      </w:r>
    </w:p>
    <w:p w14:paraId="2D954063" w14:textId="77777777" w:rsidR="0044292D" w:rsidRDefault="0057687C">
      <w:pPr>
        <w:numPr>
          <w:ilvl w:val="2"/>
          <w:numId w:val="2"/>
        </w:numPr>
      </w:pPr>
      <w:r>
        <w:t>The facade of any building greater than one hundred (100) feet in width must be divided vertically by a recess or an offset at least seven (7) feet deep and ten (10) feet wide and designed as two (2) or more distinct facades of differing architectural trea</w:t>
      </w:r>
      <w:r>
        <w:t>tment so that the building appears to be multiple buildings. Modifications to the facade of existing buildings are exempt.</w:t>
      </w:r>
    </w:p>
    <w:p w14:paraId="51D3E95C" w14:textId="77777777" w:rsidR="0044292D" w:rsidRDefault="0057687C">
      <w:pPr>
        <w:numPr>
          <w:ilvl w:val="1"/>
          <w:numId w:val="2"/>
        </w:numPr>
      </w:pPr>
      <w:r>
        <w:t>Fenestration</w:t>
      </w:r>
    </w:p>
    <w:p w14:paraId="49AC4EA1" w14:textId="77777777" w:rsidR="0044292D" w:rsidRDefault="0057687C">
      <w:pPr>
        <w:numPr>
          <w:ilvl w:val="2"/>
          <w:numId w:val="2"/>
        </w:numPr>
      </w:pPr>
      <w:r>
        <w:t>Fenestration must be provided as specified in the Building Standards for each VCOD tier and is calculated as a percentag</w:t>
      </w:r>
      <w:r>
        <w:t>e of the area of the Front Elevation.</w:t>
      </w:r>
    </w:p>
    <w:p w14:paraId="72515904" w14:textId="77777777" w:rsidR="0044292D" w:rsidRDefault="0057687C">
      <w:pPr>
        <w:numPr>
          <w:ilvl w:val="2"/>
          <w:numId w:val="2"/>
        </w:numPr>
      </w:pPr>
      <w:r>
        <w:t>For buildings with ground story Active Use spaces, ground story fenestration is measured between two (2) feet and ten (10) feet above the finished floor of the ground story.</w:t>
      </w:r>
    </w:p>
    <w:p w14:paraId="35D0E930" w14:textId="77777777" w:rsidR="0044292D" w:rsidRDefault="0057687C">
      <w:pPr>
        <w:numPr>
          <w:ilvl w:val="2"/>
          <w:numId w:val="2"/>
        </w:numPr>
      </w:pPr>
      <w:r>
        <w:t xml:space="preserve">For ground story fenestration, glazing must </w:t>
      </w:r>
      <w:r>
        <w:t>have a minimum sixty percent (60%) Visible Light Transmittance (VLT</w:t>
      </w:r>
      <w:proofErr w:type="gramStart"/>
      <w:r>
        <w:t>)</w:t>
      </w:r>
      <w:proofErr w:type="gramEnd"/>
      <w:r>
        <w:t xml:space="preserve"> and no more than fifteen percent (15%) Visible Light Reflectance (VLR) as indicated by the manufacturer.</w:t>
      </w:r>
    </w:p>
    <w:p w14:paraId="2A8E9E4C" w14:textId="77777777" w:rsidR="0044292D" w:rsidRDefault="0057687C">
      <w:pPr>
        <w:numPr>
          <w:ilvl w:val="1"/>
          <w:numId w:val="2"/>
        </w:numPr>
      </w:pPr>
      <w:r>
        <w:t>Building Entrances</w:t>
      </w:r>
    </w:p>
    <w:p w14:paraId="3C5B8481" w14:textId="77777777" w:rsidR="0044292D" w:rsidRDefault="0057687C">
      <w:pPr>
        <w:numPr>
          <w:ilvl w:val="2"/>
          <w:numId w:val="2"/>
        </w:numPr>
      </w:pPr>
      <w:r>
        <w:t>For parcels with Street frontage, buildings must have their mai</w:t>
      </w:r>
      <w:r>
        <w:t>n entrance from a public right of way on that Street. For parcels without Street frontage, buildings should have their main entrance on the side wall oriented toward the parking lot provided for the building.</w:t>
      </w:r>
    </w:p>
    <w:p w14:paraId="1DF719DD" w14:textId="77777777" w:rsidR="0044292D" w:rsidRDefault="0057687C">
      <w:pPr>
        <w:numPr>
          <w:ilvl w:val="2"/>
          <w:numId w:val="2"/>
        </w:numPr>
      </w:pPr>
      <w:r>
        <w:t xml:space="preserve">Multi-story buildings with ground story Active </w:t>
      </w:r>
      <w:r>
        <w:t>Use spaces must have one (1) principal entrance for each Active Use space in addition to any principal entrance(s) necessary for any upper stories.</w:t>
      </w:r>
    </w:p>
    <w:p w14:paraId="2BA7F453" w14:textId="77777777" w:rsidR="0044292D" w:rsidRDefault="0057687C">
      <w:pPr>
        <w:numPr>
          <w:ilvl w:val="2"/>
          <w:numId w:val="2"/>
        </w:numPr>
      </w:pPr>
      <w:r>
        <w:t>Principal entrances must either be recessed from the plane of the facade, or have a projecting Awning or Can</w:t>
      </w:r>
      <w:r>
        <w:t>opy, to signal building entry and provide adequate protection from the elements.</w:t>
      </w:r>
    </w:p>
    <w:p w14:paraId="6554E11A" w14:textId="77777777" w:rsidR="0044292D" w:rsidRDefault="0057687C">
      <w:pPr>
        <w:numPr>
          <w:ilvl w:val="1"/>
          <w:numId w:val="2"/>
        </w:numPr>
      </w:pPr>
      <w:r>
        <w:t>Roof Features</w:t>
      </w:r>
    </w:p>
    <w:p w14:paraId="044C9131" w14:textId="77777777" w:rsidR="0044292D" w:rsidRDefault="0057687C">
      <w:pPr>
        <w:numPr>
          <w:ilvl w:val="2"/>
          <w:numId w:val="2"/>
        </w:numPr>
      </w:pPr>
      <w:r>
        <w:t>Non-habitable architectural features including, but not limited to, mechanical &amp; stairwell penthouses; vents or exhausts; solar panels or skylights; belfries, chimneys, cupolas, parapets, spires, and steeples are permitted on roofs.</w:t>
      </w:r>
    </w:p>
    <w:p w14:paraId="086ACA1D" w14:textId="77777777" w:rsidR="0044292D" w:rsidRDefault="0057687C">
      <w:pPr>
        <w:numPr>
          <w:ilvl w:val="1"/>
          <w:numId w:val="2"/>
        </w:numPr>
      </w:pPr>
      <w:r>
        <w:t>Mechanical Equipment</w:t>
      </w:r>
      <w:r>
        <w:rPr>
          <w:vertAlign w:val="superscript"/>
        </w:rPr>
        <w:footnoteReference w:id="13"/>
      </w:r>
    </w:p>
    <w:p w14:paraId="03D86EB0" w14:textId="77777777" w:rsidR="0044292D" w:rsidRDefault="0057687C">
      <w:pPr>
        <w:numPr>
          <w:ilvl w:val="2"/>
          <w:numId w:val="2"/>
        </w:numPr>
      </w:pPr>
      <w:r>
        <w:t>Roof-mounted mechanical equipment must be screened and setback at least ten (10) feet from any building wall. See Section 5.1.9. Screening.</w:t>
      </w:r>
    </w:p>
    <w:p w14:paraId="211B199A" w14:textId="77777777" w:rsidR="0044292D" w:rsidRDefault="0057687C">
      <w:pPr>
        <w:numPr>
          <w:ilvl w:val="2"/>
          <w:numId w:val="2"/>
        </w:numPr>
      </w:pPr>
      <w:r>
        <w:lastRenderedPageBreak/>
        <w:t xml:space="preserve">Wall-mounted mechanical and/or electrical equipment such as louvers, exhaust equipment, ducts, alarm devices, cable </w:t>
      </w:r>
      <w:r>
        <w:t>boxes, utility meters, etc. must not be mounted on a Front Elevation.</w:t>
      </w:r>
    </w:p>
    <w:p w14:paraId="27B1DD3F" w14:textId="77777777" w:rsidR="0044292D" w:rsidRDefault="0057687C">
      <w:pPr>
        <w:numPr>
          <w:ilvl w:val="0"/>
          <w:numId w:val="2"/>
        </w:numPr>
      </w:pPr>
      <w:r>
        <w:t>Site Standards</w:t>
      </w:r>
    </w:p>
    <w:p w14:paraId="6D818B7B" w14:textId="77777777" w:rsidR="0044292D" w:rsidRDefault="0057687C">
      <w:pPr>
        <w:ind w:left="2160"/>
      </w:pPr>
      <w:r>
        <w:t xml:space="preserve">This section provides an explanation of the dimensional standards for site improvement within the VCOD tiers, defines how to measure certain standards, and provides other </w:t>
      </w:r>
      <w:r>
        <w:t>requirements and reference information as necessary.</w:t>
      </w:r>
    </w:p>
    <w:p w14:paraId="1DD0E678" w14:textId="77777777" w:rsidR="0044292D" w:rsidRDefault="0057687C">
      <w:pPr>
        <w:numPr>
          <w:ilvl w:val="1"/>
          <w:numId w:val="2"/>
        </w:numPr>
      </w:pPr>
      <w:r>
        <w:t>Open Space and Public Realm</w:t>
      </w:r>
    </w:p>
    <w:p w14:paraId="72265BF0" w14:textId="77777777" w:rsidR="0044292D" w:rsidRDefault="0057687C">
      <w:pPr>
        <w:numPr>
          <w:ilvl w:val="2"/>
          <w:numId w:val="2"/>
        </w:numPr>
      </w:pPr>
      <w:r>
        <w:t xml:space="preserve">Development on lots greater than 30,000 sf must provide Usable Open Space accessible to the public as specified for each VCOD tier. </w:t>
      </w:r>
    </w:p>
    <w:p w14:paraId="44A1F7EE" w14:textId="77777777" w:rsidR="0044292D" w:rsidRDefault="0057687C">
      <w:pPr>
        <w:numPr>
          <w:ilvl w:val="2"/>
          <w:numId w:val="2"/>
        </w:numPr>
      </w:pPr>
      <w:r>
        <w:t xml:space="preserve">Buildings must provide shared Usable Open </w:t>
      </w:r>
      <w:r>
        <w:t>Space as exterior spaces (patio, roof deck, roof terrace, yard, forecourt, plaza).</w:t>
      </w:r>
    </w:p>
    <w:p w14:paraId="14B1351D" w14:textId="77777777" w:rsidR="0044292D" w:rsidRDefault="0057687C">
      <w:pPr>
        <w:numPr>
          <w:ilvl w:val="1"/>
          <w:numId w:val="2"/>
        </w:numPr>
      </w:pPr>
      <w:r>
        <w:t>Parking and Driveway</w:t>
      </w:r>
    </w:p>
    <w:p w14:paraId="6D4F503B" w14:textId="77777777" w:rsidR="0044292D" w:rsidRDefault="0057687C">
      <w:pPr>
        <w:numPr>
          <w:ilvl w:val="2"/>
          <w:numId w:val="2"/>
        </w:numPr>
      </w:pPr>
      <w:r>
        <w:t>All parking spaces and structures must be located at or behind any required parking setback as specified for each VCOD tier.</w:t>
      </w:r>
    </w:p>
    <w:p w14:paraId="16C5D834" w14:textId="77777777" w:rsidR="0044292D" w:rsidRDefault="0057687C">
      <w:pPr>
        <w:numPr>
          <w:ilvl w:val="1"/>
          <w:numId w:val="2"/>
        </w:numPr>
      </w:pPr>
      <w:r>
        <w:t>Parking Lot Access</w:t>
      </w:r>
    </w:p>
    <w:p w14:paraId="3F04049A" w14:textId="77777777" w:rsidR="0044292D" w:rsidRDefault="0057687C">
      <w:pPr>
        <w:numPr>
          <w:ilvl w:val="2"/>
          <w:numId w:val="2"/>
        </w:numPr>
      </w:pPr>
      <w:r>
        <w:t>Access t</w:t>
      </w:r>
      <w:r>
        <w:t>o parking lots and structures parallel to the Front Elevation is prohibited when access along another lot line is available.</w:t>
      </w:r>
    </w:p>
    <w:p w14:paraId="18316D40" w14:textId="77777777" w:rsidR="0044292D" w:rsidRDefault="0057687C">
      <w:pPr>
        <w:numPr>
          <w:ilvl w:val="2"/>
          <w:numId w:val="2"/>
        </w:numPr>
      </w:pPr>
      <w:r>
        <w:t>Shared use of parking lots, by multiple uses and/or developments on multiple parcels, is encouraged.</w:t>
      </w:r>
      <w:r>
        <w:rPr>
          <w:vertAlign w:val="superscript"/>
        </w:rPr>
        <w:footnoteReference w:id="14"/>
      </w:r>
    </w:p>
    <w:p w14:paraId="3B38F9E8" w14:textId="77777777" w:rsidR="0044292D" w:rsidRDefault="0057687C">
      <w:pPr>
        <w:numPr>
          <w:ilvl w:val="1"/>
          <w:numId w:val="2"/>
        </w:numPr>
      </w:pPr>
      <w:r>
        <w:t>Curb Cuts and Driveways</w:t>
      </w:r>
    </w:p>
    <w:p w14:paraId="13D801F7" w14:textId="77777777" w:rsidR="0044292D" w:rsidRDefault="0057687C">
      <w:pPr>
        <w:numPr>
          <w:ilvl w:val="2"/>
          <w:numId w:val="2"/>
        </w:numPr>
      </w:pPr>
      <w:r>
        <w:t>Curb</w:t>
      </w:r>
      <w:r>
        <w:t xml:space="preserve"> cuts are prohibited parallel to the Front Elevation when access along another lot line is available.</w:t>
      </w:r>
    </w:p>
    <w:p w14:paraId="60D01B8C" w14:textId="77777777" w:rsidR="0044292D" w:rsidRDefault="0057687C">
      <w:pPr>
        <w:numPr>
          <w:ilvl w:val="2"/>
          <w:numId w:val="2"/>
        </w:numPr>
      </w:pPr>
      <w:r>
        <w:t>The maximum width of a curb cut and driveway for access to parking lots and structures is as follows:</w:t>
      </w:r>
    </w:p>
    <w:p w14:paraId="2ABDBA41" w14:textId="77777777" w:rsidR="0044292D" w:rsidRDefault="0057687C">
      <w:pPr>
        <w:numPr>
          <w:ilvl w:val="3"/>
          <w:numId w:val="2"/>
        </w:numPr>
      </w:pPr>
      <w:r>
        <w:t>One-lane: 10 ft</w:t>
      </w:r>
    </w:p>
    <w:p w14:paraId="4B9F14C6" w14:textId="77777777" w:rsidR="0044292D" w:rsidRDefault="0057687C">
      <w:pPr>
        <w:numPr>
          <w:ilvl w:val="3"/>
          <w:numId w:val="2"/>
        </w:numPr>
      </w:pPr>
      <w:r>
        <w:t>Two-lane: 20 ft</w:t>
      </w:r>
    </w:p>
    <w:p w14:paraId="30ECBC82" w14:textId="77777777" w:rsidR="0044292D" w:rsidRDefault="0057687C">
      <w:pPr>
        <w:numPr>
          <w:ilvl w:val="2"/>
          <w:numId w:val="2"/>
        </w:numPr>
      </w:pPr>
      <w:r>
        <w:t xml:space="preserve">Each lot is limited </w:t>
      </w:r>
      <w:r>
        <w:t>to one curb cut per street frontage.</w:t>
      </w:r>
    </w:p>
    <w:p w14:paraId="05089322" w14:textId="77777777" w:rsidR="0044292D" w:rsidRDefault="0057687C">
      <w:pPr>
        <w:numPr>
          <w:ilvl w:val="2"/>
          <w:numId w:val="2"/>
        </w:numPr>
      </w:pPr>
      <w:r>
        <w:t>The grade, cross slope, and clear width of the walkway of a sidewalk must be maintained between the driveway apron and the abutting driveway. The appearance of the walkway (i.e., scoring pattern or paving material) must</w:t>
      </w:r>
      <w:r>
        <w:t xml:space="preserve"> indicate that, although a vehicle may cross, the area traversed by a vehicle remains part of the pedestrian sidewalk.</w:t>
      </w:r>
    </w:p>
    <w:p w14:paraId="350132E7" w14:textId="77777777" w:rsidR="0044292D" w:rsidRDefault="0057687C">
      <w:pPr>
        <w:numPr>
          <w:ilvl w:val="3"/>
          <w:numId w:val="2"/>
        </w:numPr>
      </w:pPr>
      <w:r>
        <w:t>Curb cuts for driveways should be at least 20 feet from an unsignalized intersection and at least forty 40 feet from a signalized interse</w:t>
      </w:r>
      <w:r>
        <w:t>ction.</w:t>
      </w:r>
      <w:r>
        <w:rPr>
          <w:vertAlign w:val="superscript"/>
        </w:rPr>
        <w:footnoteReference w:id="15"/>
      </w:r>
    </w:p>
    <w:p w14:paraId="0A0AA090" w14:textId="77777777" w:rsidR="0044292D" w:rsidRDefault="0057687C">
      <w:pPr>
        <w:numPr>
          <w:ilvl w:val="1"/>
          <w:numId w:val="2"/>
        </w:numPr>
      </w:pPr>
      <w:r>
        <w:t>Surface Parking Lot Design</w:t>
      </w:r>
    </w:p>
    <w:p w14:paraId="54BE6337" w14:textId="77777777" w:rsidR="0044292D" w:rsidRDefault="0057687C">
      <w:pPr>
        <w:numPr>
          <w:ilvl w:val="2"/>
          <w:numId w:val="2"/>
        </w:numPr>
      </w:pPr>
      <w:r>
        <w:lastRenderedPageBreak/>
        <w:t xml:space="preserve">Parking lots must be separated from the public right of way by a building or landscaped strip with a depth equal to the parking setback </w:t>
      </w:r>
      <w:r>
        <w:t>as specified in the Lot Standards for each VCOD Tier. The landscaped strip must adhere to the following design standards (Fig. #</w:t>
      </w:r>
      <w:r>
        <w:rPr>
          <w:vertAlign w:val="superscript"/>
        </w:rPr>
        <w:footnoteReference w:id="16"/>
      </w:r>
      <w:r>
        <w:t>):</w:t>
      </w:r>
    </w:p>
    <w:p w14:paraId="26F129F2" w14:textId="77777777" w:rsidR="0044292D" w:rsidRDefault="0057687C">
      <w:pPr>
        <w:numPr>
          <w:ilvl w:val="3"/>
          <w:numId w:val="2"/>
        </w:numPr>
      </w:pPr>
      <w:r>
        <w:t>The landscape strip must run the full length of the parking lot perimeter along the right-of-way, excluding curb cuts and d</w:t>
      </w:r>
      <w:r>
        <w:t>riveways.</w:t>
      </w:r>
    </w:p>
    <w:p w14:paraId="0CE2F126" w14:textId="77777777" w:rsidR="0044292D" w:rsidRDefault="0057687C">
      <w:pPr>
        <w:numPr>
          <w:ilvl w:val="3"/>
          <w:numId w:val="2"/>
        </w:numPr>
      </w:pPr>
      <w:r>
        <w:t>The landscape strip must be planted with shrubs, perennials, native grasses, and other planting types that provide screening from the public right-of-way.</w:t>
      </w:r>
    </w:p>
    <w:p w14:paraId="7949F62C" w14:textId="77777777" w:rsidR="0044292D" w:rsidRDefault="0057687C">
      <w:pPr>
        <w:numPr>
          <w:ilvl w:val="3"/>
          <w:numId w:val="2"/>
        </w:numPr>
      </w:pPr>
      <w:r>
        <w:t>Deciduous shade trees must be planted for every 20 feet of landscape strip length, spaced l</w:t>
      </w:r>
      <w:r>
        <w:t>inearly and parallel to the public right-of-way. Shade trees must be a minimum of two (2) inches in tree caliper when planted.</w:t>
      </w:r>
    </w:p>
    <w:p w14:paraId="2575FF1B" w14:textId="77777777" w:rsidR="0044292D" w:rsidRDefault="0057687C">
      <w:pPr>
        <w:numPr>
          <w:ilvl w:val="3"/>
          <w:numId w:val="2"/>
        </w:numPr>
      </w:pPr>
      <w:r>
        <w:t>An optional low fence or pedestrian wall 24” to 42” in height may be installed behind the landscape strip and setback up to 24” f</w:t>
      </w:r>
      <w:r>
        <w:t>rom the adjacent parking lot to accommodate for car overhang.</w:t>
      </w:r>
    </w:p>
    <w:p w14:paraId="3AC871DF" w14:textId="77777777" w:rsidR="0044292D" w:rsidRDefault="0057687C">
      <w:pPr>
        <w:numPr>
          <w:ilvl w:val="3"/>
          <w:numId w:val="2"/>
        </w:numPr>
      </w:pPr>
      <w:r>
        <w:t xml:space="preserve">The use of stormwater management techniques such as rain gardens and bioswales is encouraged in landscape strips. </w:t>
      </w:r>
    </w:p>
    <w:p w14:paraId="36C5414B" w14:textId="77777777" w:rsidR="0044292D" w:rsidRDefault="0057687C">
      <w:pPr>
        <w:numPr>
          <w:ilvl w:val="2"/>
          <w:numId w:val="2"/>
        </w:numPr>
      </w:pPr>
      <w:r>
        <w:t>Parking lots abutting properties in any Residential Districts along any side or</w:t>
      </w:r>
      <w:r>
        <w:t xml:space="preserve"> rear lot line must be screened. See Section 5.1.9. Screening.</w:t>
      </w:r>
    </w:p>
    <w:p w14:paraId="4866A673" w14:textId="77777777" w:rsidR="0044292D" w:rsidRDefault="0057687C">
      <w:pPr>
        <w:numPr>
          <w:ilvl w:val="2"/>
          <w:numId w:val="2"/>
        </w:numPr>
      </w:pPr>
      <w:r>
        <w:t>Parking lot landscape strips, parking lot islands, landscape buffers, and other landscaped areas should utilize Low-Impact-Development (LID) practices consistent with state law to treat and discharge stormwater.</w:t>
      </w:r>
    </w:p>
    <w:p w14:paraId="250C5934" w14:textId="77777777" w:rsidR="0044292D" w:rsidRDefault="0057687C">
      <w:pPr>
        <w:numPr>
          <w:ilvl w:val="2"/>
          <w:numId w:val="2"/>
        </w:numPr>
      </w:pPr>
      <w:r>
        <w:t xml:space="preserve">At least ten percent (10%) of paved parking </w:t>
      </w:r>
      <w:r>
        <w:t>lot areas, inclusive of driveways, must be landscaped. Landscape strips along public rights-of-way and landscape buffers abutting Residential Districts are excluded from the calculation of the parking lot area.</w:t>
      </w:r>
    </w:p>
    <w:p w14:paraId="65C6E80B" w14:textId="77777777" w:rsidR="0044292D" w:rsidRDefault="0057687C">
      <w:pPr>
        <w:numPr>
          <w:ilvl w:val="1"/>
          <w:numId w:val="2"/>
        </w:numPr>
      </w:pPr>
      <w:r>
        <w:t>Loading</w:t>
      </w:r>
    </w:p>
    <w:p w14:paraId="1AC0EB21" w14:textId="77777777" w:rsidR="0044292D" w:rsidRDefault="0057687C">
      <w:pPr>
        <w:numPr>
          <w:ilvl w:val="2"/>
          <w:numId w:val="2"/>
        </w:numPr>
      </w:pPr>
      <w:r>
        <w:t>Access to loading docks and areas par</w:t>
      </w:r>
      <w:r>
        <w:t>allel to the Front Elevation is prohibited.</w:t>
      </w:r>
    </w:p>
    <w:p w14:paraId="76091180" w14:textId="77777777" w:rsidR="0044292D" w:rsidRDefault="0057687C">
      <w:pPr>
        <w:numPr>
          <w:ilvl w:val="2"/>
          <w:numId w:val="2"/>
        </w:numPr>
      </w:pPr>
      <w:r>
        <w:t>Outdoor loading facilities, including all docks and areas used for the storage and staging of goods or materials, that are visible from a public street, public space, or abutting properties in any Residential Dis</w:t>
      </w:r>
      <w:r>
        <w:t>tricts must be screened from view. See Section 5.1.9. Screening.</w:t>
      </w:r>
    </w:p>
    <w:p w14:paraId="54F14466" w14:textId="77777777" w:rsidR="0044292D" w:rsidRDefault="0057687C">
      <w:pPr>
        <w:numPr>
          <w:ilvl w:val="1"/>
          <w:numId w:val="2"/>
        </w:numPr>
      </w:pPr>
      <w:r>
        <w:t>Service Areas</w:t>
      </w:r>
    </w:p>
    <w:p w14:paraId="46D9E248" w14:textId="77777777" w:rsidR="0044292D" w:rsidRDefault="0057687C">
      <w:pPr>
        <w:numPr>
          <w:ilvl w:val="2"/>
          <w:numId w:val="2"/>
        </w:numPr>
      </w:pPr>
      <w:r>
        <w:lastRenderedPageBreak/>
        <w:t>Trash collection, trash compaction, recycling collection and other similar service areas must be fully enclosed within a building or located to the side or rear of the buildings</w:t>
      </w:r>
      <w:r>
        <w:t>.</w:t>
      </w:r>
    </w:p>
    <w:p w14:paraId="2FCACD35" w14:textId="77777777" w:rsidR="0044292D" w:rsidRDefault="0057687C">
      <w:pPr>
        <w:numPr>
          <w:ilvl w:val="2"/>
          <w:numId w:val="2"/>
        </w:numPr>
      </w:pPr>
      <w:r>
        <w:t>Outdoor service areas are not permitted along any Front Elevation.</w:t>
      </w:r>
    </w:p>
    <w:p w14:paraId="122F370F" w14:textId="77777777" w:rsidR="0044292D" w:rsidRDefault="0057687C">
      <w:pPr>
        <w:numPr>
          <w:ilvl w:val="2"/>
          <w:numId w:val="2"/>
        </w:numPr>
      </w:pPr>
      <w:r>
        <w:t>Outdoor service areas that are visible from a public street, public space, or abutting properties in any Residential Districts must be fully screened from view. See Section 5.1.9. Screeni</w:t>
      </w:r>
      <w:r>
        <w:t>ng.</w:t>
      </w:r>
      <w:r>
        <w:br/>
      </w:r>
    </w:p>
    <w:p w14:paraId="385FF4E5" w14:textId="77777777" w:rsidR="0044292D" w:rsidRDefault="0057687C">
      <w:pPr>
        <w:numPr>
          <w:ilvl w:val="1"/>
          <w:numId w:val="7"/>
        </w:numPr>
      </w:pPr>
      <w:r>
        <w:t>Design Guidelines</w:t>
      </w:r>
    </w:p>
    <w:p w14:paraId="5442C2BE" w14:textId="77777777" w:rsidR="0044292D" w:rsidRDefault="0057687C">
      <w:pPr>
        <w:ind w:left="1440"/>
      </w:pPr>
      <w:r>
        <w:t>The Director of Planning and Development shall adopt, and periodically amend as deemed necessary, design guidelines. These guidelines provide direction, not requirements, for the design of new development within the VCOD tiers result</w:t>
      </w:r>
      <w:r>
        <w:t>ing in a cohesive pattern over time. The intent is to define expectations for new development while allowing for flexibility and fostering high quality design.</w:t>
      </w:r>
      <w:r>
        <w:br/>
      </w:r>
    </w:p>
    <w:p w14:paraId="2035CCCA" w14:textId="77777777" w:rsidR="0044292D" w:rsidRDefault="0057687C">
      <w:pPr>
        <w:numPr>
          <w:ilvl w:val="1"/>
          <w:numId w:val="7"/>
        </w:numPr>
      </w:pPr>
      <w:r>
        <w:t>Allowed Uses</w:t>
      </w:r>
    </w:p>
    <w:p w14:paraId="4AFE2C16" w14:textId="77777777" w:rsidR="0044292D" w:rsidRDefault="0057687C">
      <w:pPr>
        <w:ind w:left="1440"/>
      </w:pPr>
      <w:r>
        <w:t>Uses permitted in buildings with the VCOD tiers are described below.</w:t>
      </w:r>
    </w:p>
    <w:p w14:paraId="13EE2581" w14:textId="77777777" w:rsidR="0044292D" w:rsidRDefault="0057687C">
      <w:pPr>
        <w:numPr>
          <w:ilvl w:val="0"/>
          <w:numId w:val="9"/>
        </w:numPr>
      </w:pPr>
      <w:r>
        <w:t>Permitted Use</w:t>
      </w:r>
      <w:r>
        <w:t>s</w:t>
      </w:r>
    </w:p>
    <w:p w14:paraId="322193B7" w14:textId="77777777" w:rsidR="0044292D" w:rsidRDefault="0057687C">
      <w:pPr>
        <w:numPr>
          <w:ilvl w:val="1"/>
          <w:numId w:val="9"/>
        </w:numPr>
      </w:pPr>
      <w:r>
        <w:t xml:space="preserve">The use of real property is subject to the provisions of Article # Use Regulations. </w:t>
      </w:r>
    </w:p>
    <w:p w14:paraId="4D2CA2C1" w14:textId="77777777" w:rsidR="0044292D" w:rsidRDefault="0057687C">
      <w:pPr>
        <w:numPr>
          <w:ilvl w:val="1"/>
          <w:numId w:val="9"/>
        </w:numPr>
      </w:pPr>
      <w:r>
        <w:t>Uses are permitted as specified in Sec. #.</w:t>
      </w:r>
    </w:p>
    <w:p w14:paraId="446CA6B2" w14:textId="77777777" w:rsidR="0044292D" w:rsidRDefault="0057687C">
      <w:pPr>
        <w:numPr>
          <w:ilvl w:val="1"/>
          <w:numId w:val="9"/>
        </w:numPr>
      </w:pPr>
      <w:r>
        <w:t>Use categories not expressly authorized are prohibited.</w:t>
      </w:r>
    </w:p>
    <w:p w14:paraId="1743D9AD" w14:textId="77777777" w:rsidR="0044292D" w:rsidRDefault="0057687C">
      <w:pPr>
        <w:numPr>
          <w:ilvl w:val="1"/>
          <w:numId w:val="9"/>
        </w:numPr>
      </w:pPr>
      <w:r>
        <w:t xml:space="preserve">Uses permitted by Special Permit require additional development review in accordance with Article #. </w:t>
      </w:r>
    </w:p>
    <w:p w14:paraId="2102819D" w14:textId="77777777" w:rsidR="0044292D" w:rsidRDefault="0057687C">
      <w:pPr>
        <w:numPr>
          <w:ilvl w:val="0"/>
          <w:numId w:val="9"/>
        </w:numPr>
      </w:pPr>
      <w:r>
        <w:t>Permitted Accessory Uses</w:t>
      </w:r>
    </w:p>
    <w:p w14:paraId="78332D9D" w14:textId="77777777" w:rsidR="0044292D" w:rsidRDefault="0057687C">
      <w:pPr>
        <w:numPr>
          <w:ilvl w:val="1"/>
          <w:numId w:val="9"/>
        </w:numPr>
      </w:pPr>
      <w:r>
        <w:t xml:space="preserve">The use of real property is subject to the provisions of Article # Use Regulations. </w:t>
      </w:r>
    </w:p>
    <w:p w14:paraId="5E69C81C" w14:textId="77777777" w:rsidR="0044292D" w:rsidRDefault="0057687C">
      <w:pPr>
        <w:numPr>
          <w:ilvl w:val="1"/>
          <w:numId w:val="9"/>
        </w:numPr>
      </w:pPr>
      <w:r>
        <w:t>Accessory Uses are permitted as specified in</w:t>
      </w:r>
      <w:r>
        <w:t xml:space="preserve"> Sec. #.</w:t>
      </w:r>
    </w:p>
    <w:p w14:paraId="1B2EBF8D" w14:textId="77777777" w:rsidR="0044292D" w:rsidRDefault="0057687C">
      <w:pPr>
        <w:numPr>
          <w:ilvl w:val="1"/>
          <w:numId w:val="9"/>
        </w:numPr>
      </w:pPr>
      <w:r>
        <w:t>Accessory Uses not expressly authorized are prohibited.</w:t>
      </w:r>
    </w:p>
    <w:p w14:paraId="6B7754D8" w14:textId="256D9206" w:rsidR="0044292D" w:rsidRDefault="0057687C">
      <w:pPr>
        <w:numPr>
          <w:ilvl w:val="1"/>
          <w:numId w:val="9"/>
        </w:numPr>
      </w:pPr>
      <w:r>
        <w:t xml:space="preserve">Accessory Uses permitted by Special Permit require additional development review in accordance with Article #. </w:t>
      </w:r>
    </w:p>
    <w:p w14:paraId="5BFECD64" w14:textId="77777777" w:rsidR="0044292D" w:rsidRDefault="0057687C">
      <w:pPr>
        <w:numPr>
          <w:ilvl w:val="0"/>
          <w:numId w:val="9"/>
        </w:numPr>
      </w:pPr>
      <w:r>
        <w:t>Use Table</w:t>
      </w:r>
      <w:r>
        <w:rPr>
          <w:vertAlign w:val="superscript"/>
        </w:rPr>
        <w:footnoteReference w:id="17"/>
      </w:r>
    </w:p>
    <w:tbl>
      <w:tblPr>
        <w:tblStyle w:val="a5"/>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65"/>
        <w:gridCol w:w="1275"/>
        <w:gridCol w:w="1365"/>
        <w:gridCol w:w="1425"/>
      </w:tblGrid>
      <w:tr w:rsidR="0044292D" w14:paraId="28E0BC2E" w14:textId="77777777" w:rsidTr="0057687C">
        <w:trPr>
          <w:trHeight w:val="20"/>
        </w:trPr>
        <w:tc>
          <w:tcPr>
            <w:tcW w:w="5265" w:type="dxa"/>
            <w:shd w:val="clear" w:color="auto" w:fill="6FA8DC"/>
            <w:tcMar>
              <w:top w:w="100" w:type="dxa"/>
              <w:left w:w="100" w:type="dxa"/>
              <w:bottom w:w="100" w:type="dxa"/>
              <w:right w:w="100" w:type="dxa"/>
            </w:tcMar>
          </w:tcPr>
          <w:p w14:paraId="591A56F5" w14:textId="77777777" w:rsidR="0044292D" w:rsidRDefault="0057687C">
            <w:pPr>
              <w:widowControl w:val="0"/>
              <w:spacing w:line="240" w:lineRule="auto"/>
              <w:rPr>
                <w:b/>
                <w:sz w:val="20"/>
                <w:szCs w:val="20"/>
              </w:rPr>
            </w:pPr>
            <w:r>
              <w:rPr>
                <w:b/>
                <w:sz w:val="20"/>
                <w:szCs w:val="20"/>
              </w:rPr>
              <w:t>Use Category</w:t>
            </w:r>
          </w:p>
        </w:tc>
        <w:tc>
          <w:tcPr>
            <w:tcW w:w="1275" w:type="dxa"/>
            <w:shd w:val="clear" w:color="auto" w:fill="6FA8DC"/>
            <w:tcMar>
              <w:top w:w="100" w:type="dxa"/>
              <w:left w:w="100" w:type="dxa"/>
              <w:bottom w:w="100" w:type="dxa"/>
              <w:right w:w="100" w:type="dxa"/>
            </w:tcMar>
          </w:tcPr>
          <w:p w14:paraId="6286E8D7" w14:textId="77777777" w:rsidR="0044292D" w:rsidRDefault="0057687C">
            <w:pPr>
              <w:widowControl w:val="0"/>
              <w:spacing w:line="240" w:lineRule="auto"/>
              <w:jc w:val="center"/>
              <w:rPr>
                <w:b/>
                <w:sz w:val="20"/>
                <w:szCs w:val="20"/>
              </w:rPr>
            </w:pPr>
            <w:r>
              <w:rPr>
                <w:b/>
                <w:sz w:val="20"/>
                <w:szCs w:val="20"/>
              </w:rPr>
              <w:t>VC1</w:t>
            </w:r>
          </w:p>
        </w:tc>
        <w:tc>
          <w:tcPr>
            <w:tcW w:w="1365" w:type="dxa"/>
            <w:shd w:val="clear" w:color="auto" w:fill="6FA8DC"/>
            <w:tcMar>
              <w:top w:w="100" w:type="dxa"/>
              <w:left w:w="100" w:type="dxa"/>
              <w:bottom w:w="100" w:type="dxa"/>
              <w:right w:w="100" w:type="dxa"/>
            </w:tcMar>
          </w:tcPr>
          <w:p w14:paraId="6C9F7943" w14:textId="77777777" w:rsidR="0044292D" w:rsidRDefault="0057687C">
            <w:pPr>
              <w:widowControl w:val="0"/>
              <w:spacing w:line="240" w:lineRule="auto"/>
              <w:jc w:val="center"/>
              <w:rPr>
                <w:b/>
                <w:sz w:val="20"/>
                <w:szCs w:val="20"/>
              </w:rPr>
            </w:pPr>
            <w:r>
              <w:rPr>
                <w:b/>
                <w:sz w:val="20"/>
                <w:szCs w:val="20"/>
              </w:rPr>
              <w:t>VC2</w:t>
            </w:r>
          </w:p>
        </w:tc>
        <w:tc>
          <w:tcPr>
            <w:tcW w:w="1425" w:type="dxa"/>
            <w:shd w:val="clear" w:color="auto" w:fill="6FA8DC"/>
            <w:tcMar>
              <w:top w:w="100" w:type="dxa"/>
              <w:left w:w="100" w:type="dxa"/>
              <w:bottom w:w="100" w:type="dxa"/>
              <w:right w:w="100" w:type="dxa"/>
            </w:tcMar>
          </w:tcPr>
          <w:p w14:paraId="3CFBF487" w14:textId="77777777" w:rsidR="0044292D" w:rsidRDefault="0057687C">
            <w:pPr>
              <w:widowControl w:val="0"/>
              <w:spacing w:line="240" w:lineRule="auto"/>
              <w:jc w:val="center"/>
              <w:rPr>
                <w:b/>
                <w:sz w:val="20"/>
                <w:szCs w:val="20"/>
              </w:rPr>
            </w:pPr>
            <w:r>
              <w:rPr>
                <w:b/>
                <w:sz w:val="20"/>
                <w:szCs w:val="20"/>
              </w:rPr>
              <w:t>VC3</w:t>
            </w:r>
          </w:p>
        </w:tc>
      </w:tr>
      <w:tr w:rsidR="0044292D" w14:paraId="3A5C961E" w14:textId="77777777" w:rsidTr="0057687C">
        <w:trPr>
          <w:trHeight w:val="20"/>
        </w:trPr>
        <w:tc>
          <w:tcPr>
            <w:tcW w:w="526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50A00215" w14:textId="77777777" w:rsidR="0044292D" w:rsidRDefault="0057687C">
            <w:pPr>
              <w:widowControl w:val="0"/>
              <w:ind w:right="140"/>
              <w:rPr>
                <w:color w:val="211D1E"/>
                <w:sz w:val="20"/>
                <w:szCs w:val="20"/>
              </w:rPr>
            </w:pPr>
            <w:r>
              <w:rPr>
                <w:color w:val="211D1E"/>
                <w:sz w:val="20"/>
                <w:szCs w:val="20"/>
              </w:rPr>
              <w:t>Residential Uses (multi-family)</w:t>
            </w:r>
          </w:p>
        </w:tc>
        <w:tc>
          <w:tcPr>
            <w:tcW w:w="1275" w:type="dxa"/>
            <w:tcBorders>
              <w:left w:val="single" w:sz="8" w:space="0" w:color="000000"/>
            </w:tcBorders>
            <w:shd w:val="clear" w:color="auto" w:fill="auto"/>
            <w:tcMar>
              <w:top w:w="100" w:type="dxa"/>
              <w:left w:w="100" w:type="dxa"/>
              <w:bottom w:w="100" w:type="dxa"/>
              <w:right w:w="100" w:type="dxa"/>
            </w:tcMar>
          </w:tcPr>
          <w:p w14:paraId="257CC383" w14:textId="77777777" w:rsidR="0044292D" w:rsidRDefault="0057687C">
            <w:pPr>
              <w:widowControl w:val="0"/>
              <w:spacing w:line="240" w:lineRule="auto"/>
              <w:jc w:val="center"/>
              <w:rPr>
                <w:sz w:val="18"/>
                <w:szCs w:val="18"/>
              </w:rPr>
            </w:pPr>
            <w:r>
              <w:rPr>
                <w:sz w:val="18"/>
                <w:szCs w:val="18"/>
              </w:rPr>
              <w:t>P</w:t>
            </w:r>
          </w:p>
        </w:tc>
        <w:tc>
          <w:tcPr>
            <w:tcW w:w="1365" w:type="dxa"/>
            <w:shd w:val="clear" w:color="auto" w:fill="auto"/>
            <w:tcMar>
              <w:top w:w="100" w:type="dxa"/>
              <w:left w:w="100" w:type="dxa"/>
              <w:bottom w:w="100" w:type="dxa"/>
              <w:right w:w="100" w:type="dxa"/>
            </w:tcMar>
          </w:tcPr>
          <w:p w14:paraId="3E6530F0" w14:textId="77777777" w:rsidR="0044292D" w:rsidRDefault="0057687C">
            <w:pPr>
              <w:widowControl w:val="0"/>
              <w:spacing w:line="240" w:lineRule="auto"/>
              <w:jc w:val="center"/>
              <w:rPr>
                <w:sz w:val="18"/>
                <w:szCs w:val="18"/>
              </w:rPr>
            </w:pPr>
            <w:r>
              <w:rPr>
                <w:sz w:val="18"/>
                <w:szCs w:val="18"/>
              </w:rPr>
              <w:t>P</w:t>
            </w:r>
          </w:p>
        </w:tc>
        <w:tc>
          <w:tcPr>
            <w:tcW w:w="1425" w:type="dxa"/>
            <w:shd w:val="clear" w:color="auto" w:fill="auto"/>
            <w:tcMar>
              <w:top w:w="100" w:type="dxa"/>
              <w:left w:w="100" w:type="dxa"/>
              <w:bottom w:w="100" w:type="dxa"/>
              <w:right w:w="100" w:type="dxa"/>
            </w:tcMar>
          </w:tcPr>
          <w:p w14:paraId="4B133171" w14:textId="77777777" w:rsidR="0044292D" w:rsidRDefault="0057687C">
            <w:pPr>
              <w:widowControl w:val="0"/>
              <w:spacing w:line="240" w:lineRule="auto"/>
              <w:jc w:val="center"/>
              <w:rPr>
                <w:sz w:val="18"/>
                <w:szCs w:val="18"/>
              </w:rPr>
            </w:pPr>
            <w:r>
              <w:rPr>
                <w:sz w:val="18"/>
                <w:szCs w:val="18"/>
              </w:rPr>
              <w:t>P</w:t>
            </w:r>
          </w:p>
        </w:tc>
      </w:tr>
      <w:tr w:rsidR="0044292D" w14:paraId="0150F1CE" w14:textId="77777777" w:rsidTr="0057687C">
        <w:trPr>
          <w:trHeight w:val="20"/>
        </w:trPr>
        <w:tc>
          <w:tcPr>
            <w:tcW w:w="526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0CF7BD1E" w14:textId="77777777" w:rsidR="0044292D" w:rsidRDefault="0057687C">
            <w:pPr>
              <w:widowControl w:val="0"/>
              <w:ind w:right="140"/>
              <w:rPr>
                <w:color w:val="211D1E"/>
                <w:sz w:val="20"/>
                <w:szCs w:val="20"/>
              </w:rPr>
            </w:pPr>
            <w:r>
              <w:rPr>
                <w:color w:val="211D1E"/>
                <w:sz w:val="20"/>
                <w:szCs w:val="20"/>
              </w:rPr>
              <w:t>Mixed-Use</w:t>
            </w:r>
          </w:p>
        </w:tc>
        <w:tc>
          <w:tcPr>
            <w:tcW w:w="1275" w:type="dxa"/>
            <w:tcBorders>
              <w:left w:val="single" w:sz="8" w:space="0" w:color="000000"/>
            </w:tcBorders>
            <w:shd w:val="clear" w:color="auto" w:fill="auto"/>
            <w:tcMar>
              <w:top w:w="100" w:type="dxa"/>
              <w:left w:w="100" w:type="dxa"/>
              <w:bottom w:w="100" w:type="dxa"/>
              <w:right w:w="100" w:type="dxa"/>
            </w:tcMar>
          </w:tcPr>
          <w:p w14:paraId="171ECE90" w14:textId="77777777" w:rsidR="0044292D" w:rsidRDefault="0057687C">
            <w:pPr>
              <w:widowControl w:val="0"/>
              <w:spacing w:line="240" w:lineRule="auto"/>
              <w:jc w:val="center"/>
              <w:rPr>
                <w:sz w:val="18"/>
                <w:szCs w:val="18"/>
              </w:rPr>
            </w:pPr>
            <w:r>
              <w:rPr>
                <w:sz w:val="18"/>
                <w:szCs w:val="18"/>
              </w:rPr>
              <w:t>–</w:t>
            </w:r>
            <w:r>
              <w:rPr>
                <w:sz w:val="18"/>
                <w:szCs w:val="18"/>
                <w:vertAlign w:val="superscript"/>
              </w:rPr>
              <w:footnoteReference w:id="18"/>
            </w:r>
          </w:p>
        </w:tc>
        <w:tc>
          <w:tcPr>
            <w:tcW w:w="1365" w:type="dxa"/>
            <w:shd w:val="clear" w:color="auto" w:fill="auto"/>
            <w:tcMar>
              <w:top w:w="100" w:type="dxa"/>
              <w:left w:w="100" w:type="dxa"/>
              <w:bottom w:w="100" w:type="dxa"/>
              <w:right w:w="100" w:type="dxa"/>
            </w:tcMar>
          </w:tcPr>
          <w:p w14:paraId="13E739AA" w14:textId="77777777" w:rsidR="0044292D" w:rsidRDefault="0057687C">
            <w:pPr>
              <w:widowControl w:val="0"/>
              <w:spacing w:line="240" w:lineRule="auto"/>
              <w:jc w:val="center"/>
              <w:rPr>
                <w:sz w:val="18"/>
                <w:szCs w:val="18"/>
              </w:rPr>
            </w:pPr>
            <w:r>
              <w:rPr>
                <w:sz w:val="18"/>
                <w:szCs w:val="18"/>
              </w:rPr>
              <w:t>P</w:t>
            </w:r>
          </w:p>
        </w:tc>
        <w:tc>
          <w:tcPr>
            <w:tcW w:w="1425" w:type="dxa"/>
            <w:shd w:val="clear" w:color="auto" w:fill="auto"/>
            <w:tcMar>
              <w:top w:w="100" w:type="dxa"/>
              <w:left w:w="100" w:type="dxa"/>
              <w:bottom w:w="100" w:type="dxa"/>
              <w:right w:w="100" w:type="dxa"/>
            </w:tcMar>
          </w:tcPr>
          <w:p w14:paraId="289BEFF2" w14:textId="77777777" w:rsidR="0044292D" w:rsidRDefault="0057687C">
            <w:pPr>
              <w:widowControl w:val="0"/>
              <w:spacing w:line="240" w:lineRule="auto"/>
              <w:jc w:val="center"/>
              <w:rPr>
                <w:sz w:val="18"/>
                <w:szCs w:val="18"/>
              </w:rPr>
            </w:pPr>
            <w:r>
              <w:rPr>
                <w:sz w:val="18"/>
                <w:szCs w:val="18"/>
              </w:rPr>
              <w:t>P</w:t>
            </w:r>
          </w:p>
        </w:tc>
      </w:tr>
      <w:tr w:rsidR="0044292D" w14:paraId="3F16BAA0" w14:textId="77777777" w:rsidTr="0057687C">
        <w:tc>
          <w:tcPr>
            <w:tcW w:w="526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19592BFA" w14:textId="77777777" w:rsidR="0044292D" w:rsidRDefault="0057687C">
            <w:pPr>
              <w:widowControl w:val="0"/>
              <w:ind w:right="140"/>
              <w:rPr>
                <w:color w:val="211D1E"/>
                <w:sz w:val="20"/>
                <w:szCs w:val="20"/>
              </w:rPr>
            </w:pPr>
            <w:r>
              <w:rPr>
                <w:color w:val="211D1E"/>
                <w:sz w:val="20"/>
                <w:szCs w:val="20"/>
              </w:rPr>
              <w:t>Commercial Uses</w:t>
            </w:r>
          </w:p>
        </w:tc>
        <w:tc>
          <w:tcPr>
            <w:tcW w:w="1275" w:type="dxa"/>
            <w:tcBorders>
              <w:left w:val="single" w:sz="8" w:space="0" w:color="000000"/>
            </w:tcBorders>
            <w:shd w:val="clear" w:color="auto" w:fill="auto"/>
            <w:tcMar>
              <w:top w:w="100" w:type="dxa"/>
              <w:left w:w="100" w:type="dxa"/>
              <w:bottom w:w="100" w:type="dxa"/>
              <w:right w:w="100" w:type="dxa"/>
            </w:tcMar>
          </w:tcPr>
          <w:p w14:paraId="0CF8DBE2" w14:textId="77777777" w:rsidR="0044292D" w:rsidRDefault="0057687C">
            <w:pPr>
              <w:widowControl w:val="0"/>
              <w:spacing w:line="240" w:lineRule="auto"/>
              <w:jc w:val="center"/>
              <w:rPr>
                <w:sz w:val="18"/>
                <w:szCs w:val="18"/>
              </w:rPr>
            </w:pPr>
            <w:r>
              <w:rPr>
                <w:sz w:val="18"/>
                <w:szCs w:val="18"/>
              </w:rPr>
              <w:t>–</w:t>
            </w:r>
            <w:r>
              <w:rPr>
                <w:sz w:val="18"/>
                <w:szCs w:val="18"/>
                <w:vertAlign w:val="superscript"/>
              </w:rPr>
              <w:footnoteReference w:id="19"/>
            </w:r>
          </w:p>
        </w:tc>
        <w:tc>
          <w:tcPr>
            <w:tcW w:w="1365" w:type="dxa"/>
            <w:shd w:val="clear" w:color="auto" w:fill="auto"/>
            <w:tcMar>
              <w:top w:w="100" w:type="dxa"/>
              <w:left w:w="100" w:type="dxa"/>
              <w:bottom w:w="100" w:type="dxa"/>
              <w:right w:w="100" w:type="dxa"/>
            </w:tcMar>
          </w:tcPr>
          <w:p w14:paraId="421825B6" w14:textId="77777777" w:rsidR="0044292D" w:rsidRDefault="0057687C">
            <w:pPr>
              <w:widowControl w:val="0"/>
              <w:spacing w:line="240" w:lineRule="auto"/>
              <w:jc w:val="center"/>
              <w:rPr>
                <w:sz w:val="18"/>
                <w:szCs w:val="18"/>
              </w:rPr>
            </w:pPr>
            <w:r>
              <w:rPr>
                <w:sz w:val="18"/>
                <w:szCs w:val="18"/>
              </w:rPr>
              <w:t>P</w:t>
            </w:r>
          </w:p>
        </w:tc>
        <w:tc>
          <w:tcPr>
            <w:tcW w:w="1425" w:type="dxa"/>
            <w:shd w:val="clear" w:color="auto" w:fill="auto"/>
            <w:tcMar>
              <w:top w:w="100" w:type="dxa"/>
              <w:left w:w="100" w:type="dxa"/>
              <w:bottom w:w="100" w:type="dxa"/>
              <w:right w:w="100" w:type="dxa"/>
            </w:tcMar>
          </w:tcPr>
          <w:p w14:paraId="336B8694" w14:textId="77777777" w:rsidR="0044292D" w:rsidRDefault="0057687C">
            <w:pPr>
              <w:widowControl w:val="0"/>
              <w:spacing w:line="240" w:lineRule="auto"/>
              <w:jc w:val="center"/>
              <w:rPr>
                <w:sz w:val="18"/>
                <w:szCs w:val="18"/>
              </w:rPr>
            </w:pPr>
            <w:r>
              <w:rPr>
                <w:sz w:val="18"/>
                <w:szCs w:val="18"/>
              </w:rPr>
              <w:t>P</w:t>
            </w:r>
          </w:p>
        </w:tc>
      </w:tr>
      <w:tr w:rsidR="0044292D" w14:paraId="2FDD6C3C" w14:textId="77777777" w:rsidTr="0057687C">
        <w:tc>
          <w:tcPr>
            <w:tcW w:w="526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66026450" w14:textId="77777777" w:rsidR="0044292D" w:rsidRDefault="0057687C">
            <w:pPr>
              <w:widowControl w:val="0"/>
              <w:ind w:right="140"/>
              <w:rPr>
                <w:color w:val="211D1E"/>
                <w:sz w:val="20"/>
                <w:szCs w:val="20"/>
              </w:rPr>
            </w:pPr>
            <w:r>
              <w:rPr>
                <w:color w:val="211D1E"/>
                <w:sz w:val="20"/>
                <w:szCs w:val="20"/>
              </w:rPr>
              <w:lastRenderedPageBreak/>
              <w:t>Civic/Institutional Uses</w:t>
            </w:r>
          </w:p>
        </w:tc>
        <w:tc>
          <w:tcPr>
            <w:tcW w:w="1275" w:type="dxa"/>
            <w:tcBorders>
              <w:left w:val="single" w:sz="8" w:space="0" w:color="000000"/>
            </w:tcBorders>
            <w:shd w:val="clear" w:color="auto" w:fill="auto"/>
            <w:tcMar>
              <w:top w:w="100" w:type="dxa"/>
              <w:left w:w="100" w:type="dxa"/>
              <w:bottom w:w="100" w:type="dxa"/>
              <w:right w:w="100" w:type="dxa"/>
            </w:tcMar>
          </w:tcPr>
          <w:p w14:paraId="04CF4940" w14:textId="77777777" w:rsidR="0044292D" w:rsidRDefault="0057687C">
            <w:pPr>
              <w:widowControl w:val="0"/>
              <w:spacing w:line="240" w:lineRule="auto"/>
              <w:jc w:val="center"/>
              <w:rPr>
                <w:sz w:val="18"/>
                <w:szCs w:val="18"/>
              </w:rPr>
            </w:pPr>
            <w:r>
              <w:rPr>
                <w:sz w:val="18"/>
                <w:szCs w:val="18"/>
              </w:rPr>
              <w:t>P</w:t>
            </w:r>
          </w:p>
        </w:tc>
        <w:tc>
          <w:tcPr>
            <w:tcW w:w="1365" w:type="dxa"/>
            <w:shd w:val="clear" w:color="auto" w:fill="auto"/>
            <w:tcMar>
              <w:top w:w="100" w:type="dxa"/>
              <w:left w:w="100" w:type="dxa"/>
              <w:bottom w:w="100" w:type="dxa"/>
              <w:right w:w="100" w:type="dxa"/>
            </w:tcMar>
          </w:tcPr>
          <w:p w14:paraId="1F39DD37" w14:textId="77777777" w:rsidR="0044292D" w:rsidRDefault="0057687C">
            <w:pPr>
              <w:widowControl w:val="0"/>
              <w:spacing w:line="240" w:lineRule="auto"/>
              <w:jc w:val="center"/>
              <w:rPr>
                <w:sz w:val="18"/>
                <w:szCs w:val="18"/>
              </w:rPr>
            </w:pPr>
            <w:r>
              <w:rPr>
                <w:sz w:val="18"/>
                <w:szCs w:val="18"/>
              </w:rPr>
              <w:t>P</w:t>
            </w:r>
          </w:p>
        </w:tc>
        <w:tc>
          <w:tcPr>
            <w:tcW w:w="1425" w:type="dxa"/>
            <w:shd w:val="clear" w:color="auto" w:fill="auto"/>
            <w:tcMar>
              <w:top w:w="100" w:type="dxa"/>
              <w:left w:w="100" w:type="dxa"/>
              <w:bottom w:w="100" w:type="dxa"/>
              <w:right w:w="100" w:type="dxa"/>
            </w:tcMar>
          </w:tcPr>
          <w:p w14:paraId="09E84CF8" w14:textId="77777777" w:rsidR="0044292D" w:rsidRDefault="0057687C">
            <w:pPr>
              <w:widowControl w:val="0"/>
              <w:spacing w:line="240" w:lineRule="auto"/>
              <w:jc w:val="center"/>
              <w:rPr>
                <w:sz w:val="18"/>
                <w:szCs w:val="18"/>
              </w:rPr>
            </w:pPr>
            <w:r>
              <w:rPr>
                <w:sz w:val="18"/>
                <w:szCs w:val="18"/>
              </w:rPr>
              <w:t>P</w:t>
            </w:r>
          </w:p>
        </w:tc>
      </w:tr>
      <w:tr w:rsidR="0044292D" w14:paraId="2ECE33D3" w14:textId="77777777" w:rsidTr="0057687C">
        <w:tc>
          <w:tcPr>
            <w:tcW w:w="526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5C8DFEBB" w14:textId="77777777" w:rsidR="0044292D" w:rsidRDefault="0057687C">
            <w:pPr>
              <w:widowControl w:val="0"/>
              <w:ind w:right="140"/>
              <w:rPr>
                <w:color w:val="211D1E"/>
                <w:sz w:val="20"/>
                <w:szCs w:val="20"/>
              </w:rPr>
            </w:pPr>
            <w:r>
              <w:rPr>
                <w:color w:val="211D1E"/>
                <w:sz w:val="20"/>
                <w:szCs w:val="20"/>
              </w:rPr>
              <w:t>Industrial uses</w:t>
            </w:r>
          </w:p>
        </w:tc>
        <w:tc>
          <w:tcPr>
            <w:tcW w:w="1275" w:type="dxa"/>
            <w:tcBorders>
              <w:left w:val="single" w:sz="8" w:space="0" w:color="000000"/>
            </w:tcBorders>
            <w:shd w:val="clear" w:color="auto" w:fill="auto"/>
            <w:tcMar>
              <w:top w:w="100" w:type="dxa"/>
              <w:left w:w="100" w:type="dxa"/>
              <w:bottom w:w="100" w:type="dxa"/>
              <w:right w:w="100" w:type="dxa"/>
            </w:tcMar>
          </w:tcPr>
          <w:p w14:paraId="4E7229F8" w14:textId="77777777" w:rsidR="0044292D" w:rsidRDefault="0057687C">
            <w:pPr>
              <w:widowControl w:val="0"/>
              <w:spacing w:line="240" w:lineRule="auto"/>
              <w:jc w:val="center"/>
              <w:rPr>
                <w:sz w:val="18"/>
                <w:szCs w:val="18"/>
              </w:rPr>
            </w:pPr>
            <w:r>
              <w:rPr>
                <w:sz w:val="18"/>
                <w:szCs w:val="18"/>
              </w:rPr>
              <w:t>–</w:t>
            </w:r>
          </w:p>
        </w:tc>
        <w:tc>
          <w:tcPr>
            <w:tcW w:w="1365" w:type="dxa"/>
            <w:shd w:val="clear" w:color="auto" w:fill="auto"/>
            <w:tcMar>
              <w:top w:w="100" w:type="dxa"/>
              <w:left w:w="100" w:type="dxa"/>
              <w:bottom w:w="100" w:type="dxa"/>
              <w:right w:w="100" w:type="dxa"/>
            </w:tcMar>
          </w:tcPr>
          <w:p w14:paraId="0CC0E75D" w14:textId="77777777" w:rsidR="0044292D" w:rsidRDefault="0057687C">
            <w:pPr>
              <w:widowControl w:val="0"/>
              <w:spacing w:line="240" w:lineRule="auto"/>
              <w:jc w:val="center"/>
              <w:rPr>
                <w:sz w:val="18"/>
                <w:szCs w:val="18"/>
              </w:rPr>
            </w:pPr>
            <w:r>
              <w:rPr>
                <w:sz w:val="18"/>
                <w:szCs w:val="18"/>
              </w:rPr>
              <w:t>–</w:t>
            </w:r>
          </w:p>
        </w:tc>
        <w:tc>
          <w:tcPr>
            <w:tcW w:w="1425" w:type="dxa"/>
            <w:shd w:val="clear" w:color="auto" w:fill="auto"/>
            <w:tcMar>
              <w:top w:w="100" w:type="dxa"/>
              <w:left w:w="100" w:type="dxa"/>
              <w:bottom w:w="100" w:type="dxa"/>
              <w:right w:w="100" w:type="dxa"/>
            </w:tcMar>
          </w:tcPr>
          <w:p w14:paraId="5F788D36" w14:textId="77777777" w:rsidR="0044292D" w:rsidRDefault="0057687C">
            <w:pPr>
              <w:widowControl w:val="0"/>
              <w:spacing w:line="240" w:lineRule="auto"/>
              <w:jc w:val="center"/>
              <w:rPr>
                <w:sz w:val="18"/>
                <w:szCs w:val="18"/>
              </w:rPr>
            </w:pPr>
            <w:r>
              <w:rPr>
                <w:sz w:val="18"/>
                <w:szCs w:val="18"/>
              </w:rPr>
              <w:t>–</w:t>
            </w:r>
          </w:p>
        </w:tc>
      </w:tr>
      <w:tr w:rsidR="0044292D" w14:paraId="19B8F813" w14:textId="77777777" w:rsidTr="0057687C">
        <w:trPr>
          <w:trHeight w:val="380"/>
        </w:trPr>
        <w:tc>
          <w:tcPr>
            <w:tcW w:w="9330" w:type="dxa"/>
            <w:gridSpan w:val="4"/>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37A6EC03" w14:textId="77777777" w:rsidR="0044292D" w:rsidRDefault="0057687C">
            <w:pPr>
              <w:widowControl w:val="0"/>
              <w:ind w:right="140"/>
              <w:rPr>
                <w:color w:val="211D1E"/>
                <w:sz w:val="20"/>
                <w:szCs w:val="20"/>
              </w:rPr>
            </w:pPr>
            <w:r>
              <w:rPr>
                <w:color w:val="211D1E"/>
                <w:sz w:val="20"/>
                <w:szCs w:val="20"/>
              </w:rPr>
              <w:t>P = Permitted, -- = Not Allowed, L = Allowed with Limitations, SP = Special Permit</w:t>
            </w:r>
          </w:p>
        </w:tc>
      </w:tr>
    </w:tbl>
    <w:p w14:paraId="59C01259" w14:textId="77777777" w:rsidR="0057687C" w:rsidRDefault="0057687C" w:rsidP="0057687C"/>
    <w:p w14:paraId="6811A13B" w14:textId="6E9EB62F" w:rsidR="0044292D" w:rsidRDefault="0057687C">
      <w:pPr>
        <w:numPr>
          <w:ilvl w:val="1"/>
          <w:numId w:val="7"/>
        </w:numPr>
      </w:pPr>
      <w:r>
        <w:t>Parking Requirements</w:t>
      </w:r>
    </w:p>
    <w:p w14:paraId="07633458" w14:textId="77777777" w:rsidR="0044292D" w:rsidRDefault="0057687C">
      <w:pPr>
        <w:numPr>
          <w:ilvl w:val="0"/>
          <w:numId w:val="3"/>
        </w:numPr>
      </w:pPr>
      <w:r>
        <w:t>Applicability</w:t>
      </w:r>
    </w:p>
    <w:p w14:paraId="03DBDAA1" w14:textId="77777777" w:rsidR="0044292D" w:rsidRDefault="0057687C">
      <w:pPr>
        <w:ind w:left="1440"/>
      </w:pPr>
      <w:r>
        <w:t>All development within the VCOD tiers is subject to the provisions below. Where conflicts exist between the Overlay District and the rest of the City of Newton Zoning Ordinance, the Overlay District regulations shall apply. The following provisions of Sect</w:t>
      </w:r>
      <w:r>
        <w:t>ion 5.1. Parking and Loading do not apply within the VCOD tiers:</w:t>
      </w:r>
    </w:p>
    <w:p w14:paraId="245F10FB" w14:textId="77777777" w:rsidR="0044292D" w:rsidRDefault="0057687C">
      <w:pPr>
        <w:numPr>
          <w:ilvl w:val="1"/>
          <w:numId w:val="3"/>
        </w:numPr>
      </w:pPr>
      <w:r>
        <w:t>Section 5.1.2. Applicability</w:t>
      </w:r>
    </w:p>
    <w:p w14:paraId="6E1B3364" w14:textId="77777777" w:rsidR="0044292D" w:rsidRDefault="0057687C">
      <w:pPr>
        <w:numPr>
          <w:ilvl w:val="1"/>
          <w:numId w:val="3"/>
        </w:numPr>
      </w:pPr>
      <w:r>
        <w:t>Section 5.1.3. General Regulations</w:t>
      </w:r>
    </w:p>
    <w:p w14:paraId="248F64BD" w14:textId="77777777" w:rsidR="0044292D" w:rsidRDefault="0057687C">
      <w:pPr>
        <w:numPr>
          <w:ilvl w:val="1"/>
          <w:numId w:val="3"/>
        </w:numPr>
      </w:pPr>
      <w:r>
        <w:t>Section 5.1.4. Number of Parking Stalls</w:t>
      </w:r>
    </w:p>
    <w:p w14:paraId="2C185F3C" w14:textId="77777777" w:rsidR="0044292D" w:rsidRDefault="0057687C">
      <w:pPr>
        <w:numPr>
          <w:ilvl w:val="1"/>
          <w:numId w:val="3"/>
        </w:numPr>
      </w:pPr>
      <w:r>
        <w:t>Section 5.1.5. Administration</w:t>
      </w:r>
    </w:p>
    <w:p w14:paraId="3E0A3998" w14:textId="77777777" w:rsidR="0044292D" w:rsidRDefault="0057687C">
      <w:pPr>
        <w:numPr>
          <w:ilvl w:val="1"/>
          <w:numId w:val="3"/>
        </w:numPr>
      </w:pPr>
      <w:r>
        <w:t>Section 5.1.6. Location of Required Accessory Parking Fac</w:t>
      </w:r>
      <w:r>
        <w:t>ilities</w:t>
      </w:r>
    </w:p>
    <w:p w14:paraId="295049EC" w14:textId="77777777" w:rsidR="0044292D" w:rsidRDefault="0057687C">
      <w:pPr>
        <w:numPr>
          <w:ilvl w:val="0"/>
          <w:numId w:val="3"/>
        </w:numPr>
      </w:pPr>
      <w:r>
        <w:t>Required Accessory Parking Spaces</w:t>
      </w:r>
    </w:p>
    <w:p w14:paraId="0830A413" w14:textId="77777777" w:rsidR="0044292D" w:rsidRDefault="0057687C">
      <w:pPr>
        <w:ind w:left="2160"/>
      </w:pPr>
      <w:r>
        <w:t>Bicycle and vehicular parking must be provided as specified in Sec. #, except as follows:</w:t>
      </w:r>
    </w:p>
    <w:p w14:paraId="4D132F5D" w14:textId="77777777" w:rsidR="0044292D" w:rsidRDefault="0057687C">
      <w:pPr>
        <w:numPr>
          <w:ilvl w:val="1"/>
          <w:numId w:val="3"/>
        </w:numPr>
      </w:pPr>
      <w:r>
        <w:t>Ground story non-residential uses are exempt from the requirements of Sec. #.</w:t>
      </w:r>
    </w:p>
    <w:p w14:paraId="740CE10B" w14:textId="77777777" w:rsidR="0044292D" w:rsidRDefault="0057687C">
      <w:pPr>
        <w:numPr>
          <w:ilvl w:val="1"/>
          <w:numId w:val="3"/>
        </w:numPr>
      </w:pPr>
      <w:r>
        <w:t xml:space="preserve">The first 5,000 square feet of gross leasable </w:t>
      </w:r>
      <w:r>
        <w:t xml:space="preserve">floor area for Upper Story non-residential uses are exempt from any minimum. requirements in Sec. #. </w:t>
      </w:r>
    </w:p>
    <w:p w14:paraId="2D22502B" w14:textId="77777777" w:rsidR="0044292D" w:rsidRDefault="0057687C">
      <w:pPr>
        <w:numPr>
          <w:ilvl w:val="1"/>
          <w:numId w:val="3"/>
        </w:numPr>
      </w:pPr>
      <w:r>
        <w:t>Parking may be shared between uses on the same lot, contiguous lots and between buildings within 500 linear feet as measured along the street in accordanc</w:t>
      </w:r>
      <w:r>
        <w:t>e with the following:</w:t>
      </w:r>
    </w:p>
    <w:p w14:paraId="186A4E20" w14:textId="77777777" w:rsidR="0044292D" w:rsidRDefault="0057687C">
      <w:pPr>
        <w:numPr>
          <w:ilvl w:val="2"/>
          <w:numId w:val="3"/>
        </w:numPr>
      </w:pPr>
      <w:r>
        <w:t xml:space="preserve">Accessory parking spaces may be shared between uses on the same lot or adjacent lots </w:t>
      </w:r>
      <w:proofErr w:type="gramStart"/>
      <w:r>
        <w:t>as long as</w:t>
      </w:r>
      <w:proofErr w:type="gramEnd"/>
      <w:r>
        <w:t xml:space="preserve"> the buildings for which the parking will be shared are within 500 feet of each other. </w:t>
      </w:r>
    </w:p>
    <w:p w14:paraId="4143E68F" w14:textId="77777777" w:rsidR="0044292D" w:rsidRDefault="0057687C">
      <w:pPr>
        <w:numPr>
          <w:ilvl w:val="2"/>
          <w:numId w:val="3"/>
        </w:numPr>
      </w:pPr>
      <w:r>
        <w:t>Motor vehicle parking spaces for persons with disab</w:t>
      </w:r>
      <w:r>
        <w:t>ilities may not be shared and must be provided on-site.</w:t>
      </w:r>
    </w:p>
    <w:p w14:paraId="64F0D9FB" w14:textId="77777777" w:rsidR="0044292D" w:rsidRDefault="0057687C">
      <w:pPr>
        <w:numPr>
          <w:ilvl w:val="2"/>
          <w:numId w:val="3"/>
        </w:numPr>
      </w:pPr>
      <w:r>
        <w:t>Centralized parking facilities must provide signage identifying the permitted users.</w:t>
      </w:r>
    </w:p>
    <w:p w14:paraId="06E770D1" w14:textId="77777777" w:rsidR="0044292D" w:rsidRDefault="0057687C">
      <w:pPr>
        <w:numPr>
          <w:ilvl w:val="2"/>
          <w:numId w:val="3"/>
        </w:numPr>
      </w:pPr>
      <w:r>
        <w:t>Pedestrian access to off-site vehicular parking must be via a paved sidewalk or walkway.</w:t>
      </w:r>
    </w:p>
    <w:p w14:paraId="77DFB459" w14:textId="77777777" w:rsidR="0044292D" w:rsidRDefault="0057687C">
      <w:pPr>
        <w:numPr>
          <w:ilvl w:val="2"/>
          <w:numId w:val="3"/>
        </w:numPr>
      </w:pPr>
      <w:r>
        <w:t>A lease, recorded covenant, or other comparable legal instrument guaranteeing long term use of the site must be provided to the review board or Commissioner of ISD and</w:t>
      </w:r>
      <w:r>
        <w:t xml:space="preserve"> executed and filed with the Registry of Deeds.</w:t>
      </w:r>
    </w:p>
    <w:p w14:paraId="5C16C3E6" w14:textId="77777777" w:rsidR="0044292D" w:rsidRDefault="0057687C">
      <w:pPr>
        <w:numPr>
          <w:ilvl w:val="0"/>
          <w:numId w:val="3"/>
        </w:numPr>
      </w:pPr>
      <w:r>
        <w:t>Vehicular Parking Types</w:t>
      </w:r>
    </w:p>
    <w:p w14:paraId="70663B46" w14:textId="77777777" w:rsidR="0044292D" w:rsidRDefault="0057687C">
      <w:pPr>
        <w:ind w:left="2160"/>
      </w:pPr>
      <w:r>
        <w:lastRenderedPageBreak/>
        <w:t>Motor vehicle parking may be provided as off-street surface parking spaces, structured parking spaces, and on-street parking spaces.</w:t>
      </w:r>
    </w:p>
    <w:p w14:paraId="1CFCDBC7" w14:textId="77777777" w:rsidR="0044292D" w:rsidRDefault="0057687C">
      <w:pPr>
        <w:numPr>
          <w:ilvl w:val="0"/>
          <w:numId w:val="3"/>
        </w:numPr>
      </w:pPr>
      <w:r>
        <w:t>Unbundled Market Rate Parking</w:t>
      </w:r>
    </w:p>
    <w:p w14:paraId="2B8811C6" w14:textId="77777777" w:rsidR="0044292D" w:rsidRDefault="0057687C">
      <w:pPr>
        <w:numPr>
          <w:ilvl w:val="1"/>
          <w:numId w:val="3"/>
        </w:numPr>
      </w:pPr>
      <w:r>
        <w:t>Off-street motor vehi</w:t>
      </w:r>
      <w:r>
        <w:t>cle parking spaces must be rented, leased, or sold as a separate option rather than a requirement of the rental, lease, or purchase of a residential unit or non-residential floor space.</w:t>
      </w:r>
    </w:p>
    <w:p w14:paraId="1E1EA06A" w14:textId="77777777" w:rsidR="0044292D" w:rsidRDefault="0057687C">
      <w:pPr>
        <w:numPr>
          <w:ilvl w:val="1"/>
          <w:numId w:val="3"/>
        </w:numPr>
      </w:pPr>
      <w:r>
        <w:t>Bicycle parking must be provided at no cost or fee to customers, visitors, employees, tenants, and residents.</w:t>
      </w:r>
    </w:p>
    <w:p w14:paraId="17FCC0ED" w14:textId="77777777" w:rsidR="0044292D" w:rsidRDefault="0057687C">
      <w:pPr>
        <w:numPr>
          <w:ilvl w:val="0"/>
          <w:numId w:val="3"/>
        </w:numPr>
      </w:pPr>
      <w:r>
        <w:t>Parking Relief</w:t>
      </w:r>
    </w:p>
    <w:p w14:paraId="56820356" w14:textId="77777777" w:rsidR="0044292D" w:rsidRDefault="0057687C">
      <w:pPr>
        <w:numPr>
          <w:ilvl w:val="1"/>
          <w:numId w:val="3"/>
        </w:numPr>
      </w:pPr>
      <w:r>
        <w:t>Relief from the number of required accessory parking spaces in Sec. #. requires a Special Permit from the Planning Board.</w:t>
      </w:r>
    </w:p>
    <w:p w14:paraId="54C6DFC5" w14:textId="77777777" w:rsidR="0044292D" w:rsidRDefault="0057687C">
      <w:pPr>
        <w:numPr>
          <w:ilvl w:val="1"/>
          <w:numId w:val="3"/>
        </w:numPr>
      </w:pPr>
      <w:r>
        <w:t>Review Cr</w:t>
      </w:r>
      <w:r>
        <w:t>iteria. In its discretion to approve or deny a Special Permit authorizing relief from the parking standards of Sec. #, the Special Permit Granting Authority must find that the application meets the following criteria:</w:t>
      </w:r>
    </w:p>
    <w:p w14:paraId="6C836720" w14:textId="77777777" w:rsidR="0044292D" w:rsidRDefault="0057687C">
      <w:pPr>
        <w:numPr>
          <w:ilvl w:val="2"/>
          <w:numId w:val="3"/>
        </w:numPr>
      </w:pPr>
      <w:r>
        <w:t>The supply and demand of on-street par</w:t>
      </w:r>
      <w:r>
        <w:t>king in the neighborhood, as determined through a parking study.</w:t>
      </w:r>
    </w:p>
    <w:p w14:paraId="0818194F" w14:textId="77777777" w:rsidR="0044292D" w:rsidRDefault="0057687C">
      <w:pPr>
        <w:numPr>
          <w:ilvl w:val="2"/>
          <w:numId w:val="3"/>
        </w:numPr>
      </w:pPr>
      <w:r>
        <w:t>Mobility management programs and services provided by the applicant to reduce the demand for parking.</w:t>
      </w:r>
    </w:p>
    <w:p w14:paraId="1F8FA7B8" w14:textId="77777777" w:rsidR="0044292D" w:rsidRDefault="0057687C">
      <w:pPr>
        <w:numPr>
          <w:ilvl w:val="2"/>
          <w:numId w:val="3"/>
        </w:numPr>
      </w:pPr>
      <w:r>
        <w:t xml:space="preserve">That parking provided </w:t>
      </w:r>
      <w:proofErr w:type="gramStart"/>
      <w:r>
        <w:t>in excess of</w:t>
      </w:r>
      <w:proofErr w:type="gramEnd"/>
      <w:r>
        <w:t xml:space="preserve"> any maximum permitted does not result in the increase </w:t>
      </w:r>
      <w:r>
        <w:t>in impervious lot area.</w:t>
      </w:r>
    </w:p>
    <w:p w14:paraId="65220446" w14:textId="77777777" w:rsidR="0044292D" w:rsidRDefault="0057687C">
      <w:pPr>
        <w:numPr>
          <w:ilvl w:val="0"/>
          <w:numId w:val="3"/>
        </w:numPr>
      </w:pPr>
      <w:r>
        <w:t>Required Number of Accessory Parking Stalls</w:t>
      </w:r>
      <w:r>
        <w:rPr>
          <w:vertAlign w:val="superscript"/>
        </w:rPr>
        <w:footnoteReference w:id="20"/>
      </w:r>
    </w:p>
    <w:p w14:paraId="650AE7BD" w14:textId="77777777" w:rsidR="0044292D" w:rsidRDefault="0057687C">
      <w:pPr>
        <w:ind w:left="2160"/>
        <w:rPr>
          <w:highlight w:val="yellow"/>
        </w:rPr>
      </w:pPr>
      <w:r>
        <w:t>The following standards for accessory bicycle and motor vehicle parking spaces are associated with the use categories permitted in the VCOD tiers:</w:t>
      </w:r>
    </w:p>
    <w:tbl>
      <w:tblPr>
        <w:tblStyle w:val="a6"/>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625"/>
        <w:gridCol w:w="3570"/>
      </w:tblGrid>
      <w:tr w:rsidR="0044292D" w14:paraId="4FCF951E" w14:textId="77777777">
        <w:trPr>
          <w:trHeight w:val="400"/>
        </w:trPr>
        <w:tc>
          <w:tcPr>
            <w:tcW w:w="3195" w:type="dxa"/>
            <w:tcBorders>
              <w:bottom w:val="single" w:sz="8" w:space="0" w:color="000000"/>
            </w:tcBorders>
            <w:shd w:val="clear" w:color="auto" w:fill="6FA8DC"/>
            <w:tcMar>
              <w:top w:w="100" w:type="dxa"/>
              <w:left w:w="100" w:type="dxa"/>
              <w:bottom w:w="100" w:type="dxa"/>
              <w:right w:w="100" w:type="dxa"/>
            </w:tcMar>
          </w:tcPr>
          <w:p w14:paraId="6E693698" w14:textId="77777777" w:rsidR="0044292D" w:rsidRDefault="0057687C">
            <w:pPr>
              <w:widowControl w:val="0"/>
              <w:spacing w:line="240" w:lineRule="auto"/>
              <w:rPr>
                <w:b/>
                <w:sz w:val="20"/>
                <w:szCs w:val="20"/>
              </w:rPr>
            </w:pPr>
            <w:r>
              <w:rPr>
                <w:b/>
                <w:sz w:val="20"/>
                <w:szCs w:val="20"/>
              </w:rPr>
              <w:t>Use Category</w:t>
            </w:r>
          </w:p>
        </w:tc>
        <w:tc>
          <w:tcPr>
            <w:tcW w:w="2625" w:type="dxa"/>
            <w:shd w:val="clear" w:color="auto" w:fill="6FA8DC"/>
            <w:tcMar>
              <w:top w:w="100" w:type="dxa"/>
              <w:left w:w="100" w:type="dxa"/>
              <w:bottom w:w="100" w:type="dxa"/>
              <w:right w:w="100" w:type="dxa"/>
            </w:tcMar>
          </w:tcPr>
          <w:p w14:paraId="55604580" w14:textId="77777777" w:rsidR="0044292D" w:rsidRDefault="0057687C">
            <w:pPr>
              <w:widowControl w:val="0"/>
              <w:spacing w:line="240" w:lineRule="auto"/>
              <w:jc w:val="center"/>
              <w:rPr>
                <w:b/>
                <w:sz w:val="20"/>
                <w:szCs w:val="20"/>
              </w:rPr>
            </w:pPr>
            <w:r>
              <w:rPr>
                <w:b/>
                <w:sz w:val="20"/>
                <w:szCs w:val="20"/>
              </w:rPr>
              <w:t>Bicycle Parking</w:t>
            </w:r>
          </w:p>
        </w:tc>
        <w:tc>
          <w:tcPr>
            <w:tcW w:w="3570" w:type="dxa"/>
            <w:shd w:val="clear" w:color="auto" w:fill="6FA8DC"/>
            <w:tcMar>
              <w:top w:w="100" w:type="dxa"/>
              <w:left w:w="100" w:type="dxa"/>
              <w:bottom w:w="100" w:type="dxa"/>
              <w:right w:w="100" w:type="dxa"/>
            </w:tcMar>
          </w:tcPr>
          <w:p w14:paraId="69572912" w14:textId="77777777" w:rsidR="0044292D" w:rsidRDefault="0057687C">
            <w:pPr>
              <w:widowControl w:val="0"/>
              <w:spacing w:line="240" w:lineRule="auto"/>
              <w:jc w:val="center"/>
              <w:rPr>
                <w:b/>
                <w:sz w:val="20"/>
                <w:szCs w:val="20"/>
              </w:rPr>
            </w:pPr>
            <w:r>
              <w:rPr>
                <w:b/>
                <w:sz w:val="20"/>
                <w:szCs w:val="20"/>
              </w:rPr>
              <w:t>Motor Vehi</w:t>
            </w:r>
            <w:r>
              <w:rPr>
                <w:b/>
                <w:sz w:val="20"/>
                <w:szCs w:val="20"/>
              </w:rPr>
              <w:t>cle Parking (min.)</w:t>
            </w:r>
            <w:r>
              <w:rPr>
                <w:b/>
                <w:sz w:val="20"/>
                <w:szCs w:val="20"/>
                <w:vertAlign w:val="superscript"/>
              </w:rPr>
              <w:footnoteReference w:id="21"/>
            </w:r>
          </w:p>
        </w:tc>
      </w:tr>
      <w:tr w:rsidR="0044292D" w14:paraId="0D9F30E7" w14:textId="77777777">
        <w:tc>
          <w:tcPr>
            <w:tcW w:w="319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69988A38" w14:textId="77777777" w:rsidR="0044292D" w:rsidRDefault="0057687C">
            <w:pPr>
              <w:widowControl w:val="0"/>
              <w:ind w:right="140"/>
              <w:rPr>
                <w:color w:val="211D1E"/>
                <w:sz w:val="20"/>
                <w:szCs w:val="20"/>
              </w:rPr>
            </w:pPr>
            <w:r>
              <w:rPr>
                <w:color w:val="211D1E"/>
                <w:sz w:val="20"/>
                <w:szCs w:val="20"/>
              </w:rPr>
              <w:t>Residential Uses (multi-family)</w:t>
            </w:r>
          </w:p>
        </w:tc>
        <w:tc>
          <w:tcPr>
            <w:tcW w:w="2625" w:type="dxa"/>
            <w:tcBorders>
              <w:left w:val="single" w:sz="8" w:space="0" w:color="000000"/>
            </w:tcBorders>
            <w:shd w:val="clear" w:color="auto" w:fill="auto"/>
            <w:tcMar>
              <w:top w:w="100" w:type="dxa"/>
              <w:left w:w="100" w:type="dxa"/>
              <w:bottom w:w="100" w:type="dxa"/>
              <w:right w:w="100" w:type="dxa"/>
            </w:tcMar>
          </w:tcPr>
          <w:p w14:paraId="1BFB7CE2" w14:textId="77777777" w:rsidR="0044292D" w:rsidRDefault="0057687C">
            <w:pPr>
              <w:widowControl w:val="0"/>
              <w:spacing w:line="240" w:lineRule="auto"/>
              <w:jc w:val="center"/>
              <w:rPr>
                <w:sz w:val="18"/>
                <w:szCs w:val="18"/>
              </w:rPr>
            </w:pPr>
            <w:r>
              <w:rPr>
                <w:sz w:val="18"/>
                <w:szCs w:val="18"/>
              </w:rPr>
              <w:t>Required</w:t>
            </w:r>
          </w:p>
        </w:tc>
        <w:tc>
          <w:tcPr>
            <w:tcW w:w="3570" w:type="dxa"/>
            <w:shd w:val="clear" w:color="auto" w:fill="auto"/>
            <w:tcMar>
              <w:top w:w="100" w:type="dxa"/>
              <w:left w:w="100" w:type="dxa"/>
              <w:bottom w:w="100" w:type="dxa"/>
              <w:right w:w="100" w:type="dxa"/>
            </w:tcMar>
          </w:tcPr>
          <w:p w14:paraId="19F2AB38" w14:textId="77777777" w:rsidR="0044292D" w:rsidRDefault="0057687C">
            <w:pPr>
              <w:widowControl w:val="0"/>
              <w:spacing w:line="240" w:lineRule="auto"/>
              <w:jc w:val="center"/>
              <w:rPr>
                <w:sz w:val="18"/>
                <w:szCs w:val="18"/>
              </w:rPr>
            </w:pPr>
            <w:r>
              <w:rPr>
                <w:sz w:val="18"/>
                <w:szCs w:val="18"/>
              </w:rPr>
              <w:t>1 per unit</w:t>
            </w:r>
          </w:p>
        </w:tc>
      </w:tr>
      <w:tr w:rsidR="0044292D" w14:paraId="349CB68D" w14:textId="77777777">
        <w:tc>
          <w:tcPr>
            <w:tcW w:w="319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2F23D22E" w14:textId="77777777" w:rsidR="0044292D" w:rsidRDefault="0057687C">
            <w:pPr>
              <w:widowControl w:val="0"/>
              <w:ind w:right="140"/>
              <w:rPr>
                <w:color w:val="211D1E"/>
                <w:sz w:val="20"/>
                <w:szCs w:val="20"/>
              </w:rPr>
            </w:pPr>
            <w:r>
              <w:rPr>
                <w:color w:val="211D1E"/>
                <w:sz w:val="20"/>
                <w:szCs w:val="20"/>
              </w:rPr>
              <w:t>Commercial Uses</w:t>
            </w:r>
          </w:p>
        </w:tc>
        <w:tc>
          <w:tcPr>
            <w:tcW w:w="2625" w:type="dxa"/>
            <w:tcBorders>
              <w:left w:val="single" w:sz="8" w:space="0" w:color="000000"/>
            </w:tcBorders>
            <w:shd w:val="clear" w:color="auto" w:fill="auto"/>
            <w:tcMar>
              <w:top w:w="100" w:type="dxa"/>
              <w:left w:w="100" w:type="dxa"/>
              <w:bottom w:w="100" w:type="dxa"/>
              <w:right w:w="100" w:type="dxa"/>
            </w:tcMar>
          </w:tcPr>
          <w:p w14:paraId="0C42F466" w14:textId="77777777" w:rsidR="0044292D" w:rsidRDefault="0057687C">
            <w:pPr>
              <w:widowControl w:val="0"/>
              <w:spacing w:line="240" w:lineRule="auto"/>
              <w:jc w:val="center"/>
              <w:rPr>
                <w:sz w:val="18"/>
                <w:szCs w:val="18"/>
              </w:rPr>
            </w:pPr>
            <w:r>
              <w:rPr>
                <w:sz w:val="18"/>
                <w:szCs w:val="18"/>
              </w:rPr>
              <w:t>Required</w:t>
            </w:r>
          </w:p>
        </w:tc>
        <w:tc>
          <w:tcPr>
            <w:tcW w:w="3570" w:type="dxa"/>
            <w:shd w:val="clear" w:color="auto" w:fill="auto"/>
            <w:tcMar>
              <w:top w:w="100" w:type="dxa"/>
              <w:left w:w="100" w:type="dxa"/>
              <w:bottom w:w="100" w:type="dxa"/>
              <w:right w:w="100" w:type="dxa"/>
            </w:tcMar>
          </w:tcPr>
          <w:p w14:paraId="7FA69DAE" w14:textId="77777777" w:rsidR="0044292D" w:rsidRDefault="0057687C">
            <w:pPr>
              <w:widowControl w:val="0"/>
              <w:spacing w:line="240" w:lineRule="auto"/>
              <w:jc w:val="center"/>
              <w:rPr>
                <w:sz w:val="18"/>
                <w:szCs w:val="18"/>
              </w:rPr>
            </w:pPr>
            <w:r>
              <w:rPr>
                <w:sz w:val="18"/>
                <w:szCs w:val="18"/>
              </w:rPr>
              <w:t>Ground floor - exempt,</w:t>
            </w:r>
          </w:p>
          <w:p w14:paraId="35FC17FE" w14:textId="77777777" w:rsidR="0044292D" w:rsidRDefault="0057687C">
            <w:pPr>
              <w:widowControl w:val="0"/>
              <w:spacing w:line="240" w:lineRule="auto"/>
              <w:jc w:val="center"/>
              <w:rPr>
                <w:sz w:val="18"/>
                <w:szCs w:val="18"/>
              </w:rPr>
            </w:pPr>
            <w:r>
              <w:rPr>
                <w:sz w:val="18"/>
                <w:szCs w:val="18"/>
              </w:rPr>
              <w:t>5,000 sf of Upper Floor - exempt,</w:t>
            </w:r>
          </w:p>
          <w:p w14:paraId="233147D0" w14:textId="77777777" w:rsidR="0044292D" w:rsidRDefault="0057687C">
            <w:pPr>
              <w:widowControl w:val="0"/>
              <w:spacing w:line="240" w:lineRule="auto"/>
              <w:jc w:val="center"/>
              <w:rPr>
                <w:sz w:val="18"/>
                <w:szCs w:val="18"/>
              </w:rPr>
            </w:pPr>
            <w:r>
              <w:rPr>
                <w:sz w:val="18"/>
                <w:szCs w:val="18"/>
              </w:rPr>
              <w:t>1 per 700 sf</w:t>
            </w:r>
          </w:p>
        </w:tc>
      </w:tr>
      <w:tr w:rsidR="0044292D" w14:paraId="25D1A57C" w14:textId="77777777">
        <w:tc>
          <w:tcPr>
            <w:tcW w:w="319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7B141DB4" w14:textId="77777777" w:rsidR="0044292D" w:rsidRDefault="0057687C">
            <w:pPr>
              <w:widowControl w:val="0"/>
              <w:ind w:right="140"/>
              <w:rPr>
                <w:color w:val="211D1E"/>
                <w:sz w:val="20"/>
                <w:szCs w:val="20"/>
              </w:rPr>
            </w:pPr>
            <w:r>
              <w:rPr>
                <w:color w:val="211D1E"/>
                <w:sz w:val="20"/>
                <w:szCs w:val="20"/>
              </w:rPr>
              <w:t>Civic/Institutional Uses</w:t>
            </w:r>
          </w:p>
        </w:tc>
        <w:tc>
          <w:tcPr>
            <w:tcW w:w="2625" w:type="dxa"/>
            <w:tcBorders>
              <w:left w:val="single" w:sz="8" w:space="0" w:color="000000"/>
            </w:tcBorders>
            <w:shd w:val="clear" w:color="auto" w:fill="auto"/>
            <w:tcMar>
              <w:top w:w="100" w:type="dxa"/>
              <w:left w:w="100" w:type="dxa"/>
              <w:bottom w:w="100" w:type="dxa"/>
              <w:right w:w="100" w:type="dxa"/>
            </w:tcMar>
          </w:tcPr>
          <w:p w14:paraId="4DC48477" w14:textId="77777777" w:rsidR="0044292D" w:rsidRDefault="0057687C">
            <w:pPr>
              <w:widowControl w:val="0"/>
              <w:spacing w:line="240" w:lineRule="auto"/>
              <w:jc w:val="center"/>
              <w:rPr>
                <w:sz w:val="18"/>
                <w:szCs w:val="18"/>
              </w:rPr>
            </w:pPr>
            <w:r>
              <w:rPr>
                <w:sz w:val="18"/>
                <w:szCs w:val="18"/>
              </w:rPr>
              <w:t>Required</w:t>
            </w:r>
          </w:p>
        </w:tc>
        <w:tc>
          <w:tcPr>
            <w:tcW w:w="3570" w:type="dxa"/>
            <w:shd w:val="clear" w:color="auto" w:fill="auto"/>
            <w:tcMar>
              <w:top w:w="100" w:type="dxa"/>
              <w:left w:w="100" w:type="dxa"/>
              <w:bottom w:w="100" w:type="dxa"/>
              <w:right w:w="100" w:type="dxa"/>
            </w:tcMar>
          </w:tcPr>
          <w:p w14:paraId="071AAFA9" w14:textId="77777777" w:rsidR="0044292D" w:rsidRDefault="0057687C">
            <w:pPr>
              <w:widowControl w:val="0"/>
              <w:spacing w:line="240" w:lineRule="auto"/>
              <w:jc w:val="center"/>
              <w:rPr>
                <w:sz w:val="18"/>
                <w:szCs w:val="18"/>
              </w:rPr>
            </w:pPr>
            <w:r>
              <w:rPr>
                <w:sz w:val="18"/>
                <w:szCs w:val="18"/>
              </w:rPr>
              <w:t>1 per 1000 sf</w:t>
            </w:r>
          </w:p>
        </w:tc>
      </w:tr>
    </w:tbl>
    <w:p w14:paraId="76C65DA3" w14:textId="77777777" w:rsidR="0044292D" w:rsidRDefault="0044292D"/>
    <w:p w14:paraId="33031D04" w14:textId="77777777" w:rsidR="0044292D" w:rsidRDefault="0044292D"/>
    <w:p w14:paraId="197D0463" w14:textId="77777777" w:rsidR="0044292D" w:rsidRDefault="0057687C">
      <w:r>
        <w:t>*************************************************************************************************************</w:t>
      </w:r>
    </w:p>
    <w:p w14:paraId="6C1E0CF3" w14:textId="77777777" w:rsidR="0044292D" w:rsidRDefault="0057687C">
      <w:r>
        <w:br w:type="page"/>
      </w:r>
    </w:p>
    <w:p w14:paraId="57E3AEF3" w14:textId="77777777" w:rsidR="0044292D" w:rsidRDefault="0057687C">
      <w:r>
        <w:lastRenderedPageBreak/>
        <w:t xml:space="preserve">Design Guidelines </w:t>
      </w:r>
    </w:p>
    <w:p w14:paraId="54BB970A" w14:textId="77777777" w:rsidR="0044292D" w:rsidRDefault="0044292D"/>
    <w:p w14:paraId="3B9E30A7" w14:textId="77777777" w:rsidR="0044292D" w:rsidRDefault="0057687C">
      <w:r>
        <w:t>This section provides an explanation of the design guidelines for any development within the VCOD tiers. These guidelines pr</w:t>
      </w:r>
      <w:r>
        <w:t>ovide direction, not requirements, for the design of new infill development within the VCOD tiers resulting in a cohesive development pattern over time. The intent is to define expectations for new development while allowing for flexibility and fostering h</w:t>
      </w:r>
      <w:r>
        <w:t xml:space="preserve">igh quality design. </w:t>
      </w:r>
    </w:p>
    <w:p w14:paraId="3EBD3E3A" w14:textId="77777777" w:rsidR="0044292D" w:rsidRDefault="0044292D">
      <w:pPr>
        <w:ind w:left="1440"/>
      </w:pPr>
    </w:p>
    <w:p w14:paraId="7D08FC73" w14:textId="77777777" w:rsidR="0044292D" w:rsidRDefault="0057687C">
      <w:pPr>
        <w:numPr>
          <w:ilvl w:val="0"/>
          <w:numId w:val="12"/>
        </w:numPr>
      </w:pPr>
      <w:r>
        <w:t>Administration</w:t>
      </w:r>
    </w:p>
    <w:p w14:paraId="5CC9CF9F" w14:textId="77777777" w:rsidR="0044292D" w:rsidRDefault="0057687C">
      <w:pPr>
        <w:numPr>
          <w:ilvl w:val="1"/>
          <w:numId w:val="12"/>
        </w:numPr>
      </w:pPr>
      <w:r>
        <w:t>Design Review. Design Review by the Urban Design Commission is encouraged for any development in the VC1, VC2, and VC3 districts that requires a Special Permit. The City Council may seek advice from the Urban Design Com</w:t>
      </w:r>
      <w:r>
        <w:t xml:space="preserve">mission for how an application implements these design guidelines. </w:t>
      </w:r>
    </w:p>
    <w:p w14:paraId="452EECBD" w14:textId="77777777" w:rsidR="0044292D" w:rsidRDefault="0057687C">
      <w:pPr>
        <w:numPr>
          <w:ilvl w:val="0"/>
          <w:numId w:val="12"/>
        </w:numPr>
      </w:pPr>
      <w:r>
        <w:t>Lot Design Guidelines</w:t>
      </w:r>
    </w:p>
    <w:p w14:paraId="343CF0AB" w14:textId="77777777" w:rsidR="0044292D" w:rsidRDefault="0057687C">
      <w:pPr>
        <w:numPr>
          <w:ilvl w:val="1"/>
          <w:numId w:val="12"/>
        </w:numPr>
      </w:pPr>
      <w:r>
        <w:t>Frontage Types</w:t>
      </w:r>
    </w:p>
    <w:p w14:paraId="20E99A14" w14:textId="77777777" w:rsidR="0044292D" w:rsidRDefault="0057687C">
      <w:pPr>
        <w:numPr>
          <w:ilvl w:val="2"/>
          <w:numId w:val="12"/>
        </w:numPr>
      </w:pPr>
      <w:r>
        <w:t>Frontage types provide access to principal entrances and serve as the interface and transition between the private realm (building interiors) and the public realm (sidewalks and public spaces) and are defined by a combination of site features and façade ch</w:t>
      </w:r>
      <w:r>
        <w:t>aracteristics.</w:t>
      </w:r>
    </w:p>
    <w:p w14:paraId="3CC8AF75" w14:textId="77777777" w:rsidR="0044292D" w:rsidRDefault="0057687C">
      <w:pPr>
        <w:numPr>
          <w:ilvl w:val="2"/>
          <w:numId w:val="12"/>
        </w:numPr>
      </w:pPr>
      <w:r>
        <w:t>Frontage types are permitted according to Table #.</w:t>
      </w:r>
    </w:p>
    <w:p w14:paraId="79FFEC33" w14:textId="77777777" w:rsidR="0044292D" w:rsidRDefault="0057687C">
      <w:pPr>
        <w:numPr>
          <w:ilvl w:val="2"/>
          <w:numId w:val="12"/>
        </w:numPr>
      </w:pPr>
      <w:r>
        <w:t>Frontage types not expressly permitted are prohibited.</w:t>
      </w:r>
    </w:p>
    <w:p w14:paraId="6A15526B" w14:textId="77777777" w:rsidR="0044292D" w:rsidRDefault="0057687C">
      <w:pPr>
        <w:numPr>
          <w:ilvl w:val="2"/>
          <w:numId w:val="12"/>
        </w:numPr>
      </w:pPr>
      <w:r>
        <w:t>Multiple frontage types are permitted for each building.</w:t>
      </w:r>
    </w:p>
    <w:p w14:paraId="4F07B04E" w14:textId="77777777" w:rsidR="0044292D" w:rsidRDefault="0057687C">
      <w:pPr>
        <w:ind w:left="2880"/>
      </w:pPr>
      <w:r>
        <w:t>[reserved]</w:t>
      </w:r>
      <w:r>
        <w:rPr>
          <w:vertAlign w:val="superscript"/>
        </w:rPr>
        <w:footnoteReference w:id="22"/>
      </w:r>
    </w:p>
    <w:p w14:paraId="75038D94" w14:textId="77777777" w:rsidR="0044292D" w:rsidRDefault="0057687C">
      <w:pPr>
        <w:numPr>
          <w:ilvl w:val="0"/>
          <w:numId w:val="12"/>
        </w:numPr>
      </w:pPr>
      <w:r>
        <w:t>Building Design Guidelines</w:t>
      </w:r>
    </w:p>
    <w:p w14:paraId="245B6087" w14:textId="77777777" w:rsidR="0044292D" w:rsidRDefault="0057687C">
      <w:pPr>
        <w:numPr>
          <w:ilvl w:val="1"/>
          <w:numId w:val="12"/>
        </w:numPr>
      </w:pPr>
      <w:r>
        <w:t>Residential Privacy</w:t>
      </w:r>
    </w:p>
    <w:p w14:paraId="6092D4F6" w14:textId="77777777" w:rsidR="0044292D" w:rsidRDefault="0057687C">
      <w:pPr>
        <w:numPr>
          <w:ilvl w:val="2"/>
          <w:numId w:val="12"/>
        </w:numPr>
      </w:pPr>
      <w:r>
        <w:t>Dormer and sidewal</w:t>
      </w:r>
      <w:r>
        <w:t>l window locations should break the direct line of sight between neighboring properties to every extent practicable. Translucent glass on the bottom half of windows or strategically placed landscape elements should be utilized if it is not practical to off</w:t>
      </w:r>
      <w:r>
        <w:t xml:space="preserve">-set windows in such a way as to minimize privacy impacts. </w:t>
      </w:r>
    </w:p>
    <w:p w14:paraId="7C00CADD" w14:textId="77777777" w:rsidR="0044292D" w:rsidRDefault="0057687C">
      <w:pPr>
        <w:numPr>
          <w:ilvl w:val="2"/>
          <w:numId w:val="12"/>
        </w:numPr>
      </w:pPr>
      <w:r>
        <w:t>Outdoor amenity spaces that are elevated, such as roof decks, fully projecting balconies, and upper story rear porches should, provide sight-obscuring visual screening at the sides to increase pri</w:t>
      </w:r>
      <w:r>
        <w:t>vacy, security, and to limit views of abutting properties from elevated vantage points.</w:t>
      </w:r>
    </w:p>
    <w:p w14:paraId="457376E6" w14:textId="77777777" w:rsidR="0044292D" w:rsidRDefault="0057687C">
      <w:pPr>
        <w:numPr>
          <w:ilvl w:val="1"/>
          <w:numId w:val="12"/>
        </w:numPr>
      </w:pPr>
      <w:r>
        <w:t>Building Height</w:t>
      </w:r>
    </w:p>
    <w:p w14:paraId="79A51DB5" w14:textId="77777777" w:rsidR="0044292D" w:rsidRDefault="0057687C">
      <w:pPr>
        <w:numPr>
          <w:ilvl w:val="2"/>
          <w:numId w:val="12"/>
        </w:numPr>
      </w:pPr>
      <w:r>
        <w:t xml:space="preserve">Building heights within the VCOD tiers are intended to vary rather than being uniform along the length of the street. </w:t>
      </w:r>
    </w:p>
    <w:p w14:paraId="4E71A5E2" w14:textId="77777777" w:rsidR="0044292D" w:rsidRDefault="0057687C">
      <w:pPr>
        <w:numPr>
          <w:ilvl w:val="2"/>
          <w:numId w:val="12"/>
        </w:numPr>
      </w:pPr>
      <w:r>
        <w:lastRenderedPageBreak/>
        <w:t xml:space="preserve">Buildings are encouraged to vary </w:t>
      </w:r>
      <w:r>
        <w:t xml:space="preserve">in height either greater or less than the buildings directly adjacent to it. </w:t>
      </w:r>
    </w:p>
    <w:p w14:paraId="78F5B620" w14:textId="77777777" w:rsidR="0044292D" w:rsidRDefault="0057687C">
      <w:pPr>
        <w:numPr>
          <w:ilvl w:val="2"/>
          <w:numId w:val="12"/>
        </w:numPr>
      </w:pPr>
      <w:r>
        <w:t>Varied building heights may be achieved through a pitched roof.</w:t>
      </w:r>
    </w:p>
    <w:p w14:paraId="0558E077" w14:textId="77777777" w:rsidR="0044292D" w:rsidRDefault="0057687C">
      <w:pPr>
        <w:numPr>
          <w:ilvl w:val="1"/>
          <w:numId w:val="12"/>
        </w:numPr>
      </w:pPr>
      <w:r>
        <w:t>Ground Story Active Uses</w:t>
      </w:r>
    </w:p>
    <w:p w14:paraId="3DA7EC01" w14:textId="77777777" w:rsidR="0044292D" w:rsidRDefault="0057687C">
      <w:pPr>
        <w:numPr>
          <w:ilvl w:val="2"/>
          <w:numId w:val="12"/>
        </w:numPr>
      </w:pPr>
      <w:r>
        <w:t>[reserved]</w:t>
      </w:r>
    </w:p>
    <w:p w14:paraId="6E15B3BC" w14:textId="77777777" w:rsidR="0044292D" w:rsidRDefault="0057687C">
      <w:pPr>
        <w:numPr>
          <w:ilvl w:val="1"/>
          <w:numId w:val="12"/>
        </w:numPr>
      </w:pPr>
      <w:r>
        <w:t>Facade Articulation</w:t>
      </w:r>
    </w:p>
    <w:p w14:paraId="519D172D" w14:textId="77777777" w:rsidR="0044292D" w:rsidRDefault="0057687C">
      <w:pPr>
        <w:numPr>
          <w:ilvl w:val="2"/>
          <w:numId w:val="12"/>
        </w:numPr>
      </w:pPr>
      <w:r>
        <w:t>Facades must differentiate the ground story of the building from the upper stories through horizontal articulation, a change in material, or a change in window size or pattern to create a distinct base to the building facade. The entire height of the groun</w:t>
      </w:r>
      <w:r>
        <w:t>d story must be included in the facade base.</w:t>
      </w:r>
    </w:p>
    <w:p w14:paraId="128EF823" w14:textId="77777777" w:rsidR="0044292D" w:rsidRDefault="0057687C">
      <w:pPr>
        <w:numPr>
          <w:ilvl w:val="2"/>
          <w:numId w:val="12"/>
        </w:numPr>
      </w:pPr>
      <w:r>
        <w:t>For buildings with more than one facade, the design of the base must align horizontally at the corner.</w:t>
      </w:r>
    </w:p>
    <w:p w14:paraId="11D20194" w14:textId="77777777" w:rsidR="0044292D" w:rsidRDefault="0057687C">
      <w:pPr>
        <w:numPr>
          <w:ilvl w:val="2"/>
          <w:numId w:val="12"/>
        </w:numPr>
      </w:pPr>
      <w:r>
        <w:t>Facades should be visually divided into a series of architectural bays that are derived, in general, from th</w:t>
      </w:r>
      <w:r>
        <w:t>e building’s structural bay spacing.</w:t>
      </w:r>
    </w:p>
    <w:p w14:paraId="40933A58" w14:textId="77777777" w:rsidR="0044292D" w:rsidRDefault="0057687C">
      <w:pPr>
        <w:numPr>
          <w:ilvl w:val="2"/>
          <w:numId w:val="12"/>
        </w:numPr>
      </w:pPr>
      <w:r>
        <w:t>Piers, pilasters, or other features defining each architectural bay should either extend all the way to the ground or terminate at any horizontal articulation defining the base of the building.</w:t>
      </w:r>
    </w:p>
    <w:p w14:paraId="6B3228EB" w14:textId="77777777" w:rsidR="0044292D" w:rsidRDefault="0057687C">
      <w:pPr>
        <w:numPr>
          <w:ilvl w:val="2"/>
          <w:numId w:val="12"/>
        </w:numPr>
      </w:pPr>
      <w:r>
        <w:t>Architectural bays should</w:t>
      </w:r>
      <w:r>
        <w:t xml:space="preserve"> align, in general, with individual or groups of storefronts and lobby entrances. </w:t>
      </w:r>
    </w:p>
    <w:p w14:paraId="7E58AF3C" w14:textId="77777777" w:rsidR="0044292D" w:rsidRDefault="0057687C">
      <w:pPr>
        <w:numPr>
          <w:ilvl w:val="2"/>
          <w:numId w:val="12"/>
        </w:numPr>
      </w:pPr>
      <w:r>
        <w:t>Piers, pilasters, or other features defining each architectural bay should always project forward and be uninterrupted by any horizontal articulation, excluding any horizont</w:t>
      </w:r>
      <w:r>
        <w:t>al articulation used to differentiate the base of the building.</w:t>
      </w:r>
    </w:p>
    <w:p w14:paraId="2B479858" w14:textId="77777777" w:rsidR="0044292D" w:rsidRDefault="0057687C">
      <w:pPr>
        <w:numPr>
          <w:ilvl w:val="2"/>
          <w:numId w:val="12"/>
        </w:numPr>
      </w:pPr>
      <w:r>
        <w:t>The facade of buildings with five (5) or more stories should be visually divided into, at least, a horizontal tripartite division (a base, middle, and top). The horizontal divisions may not sh</w:t>
      </w:r>
      <w:r>
        <w:t>ift up or down across the width of the facade.</w:t>
      </w:r>
    </w:p>
    <w:p w14:paraId="74AC3212" w14:textId="77777777" w:rsidR="0044292D" w:rsidRDefault="0057687C">
      <w:pPr>
        <w:numPr>
          <w:ilvl w:val="2"/>
          <w:numId w:val="12"/>
        </w:numPr>
      </w:pPr>
      <w:r>
        <w:t xml:space="preserve">The type and color of materials should be kept to a minimum, preferably three (3) or fewer. </w:t>
      </w:r>
    </w:p>
    <w:p w14:paraId="0D09CF08" w14:textId="77777777" w:rsidR="0044292D" w:rsidRDefault="0057687C">
      <w:pPr>
        <w:numPr>
          <w:ilvl w:val="2"/>
          <w:numId w:val="12"/>
        </w:numPr>
      </w:pPr>
      <w:r>
        <w:t xml:space="preserve">Two (2) or more wall materials should be combined only one above the other, except for bay windows. </w:t>
      </w:r>
    </w:p>
    <w:p w14:paraId="4C582E5D" w14:textId="77777777" w:rsidR="0044292D" w:rsidRDefault="0057687C">
      <w:pPr>
        <w:numPr>
          <w:ilvl w:val="2"/>
          <w:numId w:val="12"/>
        </w:numPr>
      </w:pPr>
      <w:r>
        <w:t xml:space="preserve">Wall materials </w:t>
      </w:r>
      <w:r>
        <w:t xml:space="preserve">appearing heavier in weight should be used below wall materials appearing lighter in weight (wood and metal above brick, and all </w:t>
      </w:r>
      <w:proofErr w:type="gramStart"/>
      <w:r>
        <w:t>three above</w:t>
      </w:r>
      <w:proofErr w:type="gramEnd"/>
      <w:r>
        <w:t xml:space="preserve"> stone)</w:t>
      </w:r>
    </w:p>
    <w:p w14:paraId="6DF7720F" w14:textId="77777777" w:rsidR="0044292D" w:rsidRDefault="0057687C">
      <w:pPr>
        <w:numPr>
          <w:ilvl w:val="2"/>
          <w:numId w:val="12"/>
        </w:numPr>
      </w:pPr>
      <w:r>
        <w:t>Horizontal or vertical board siding or shingles, regardless of material, should be avoided.</w:t>
      </w:r>
    </w:p>
    <w:p w14:paraId="48DFA634" w14:textId="77777777" w:rsidR="0044292D" w:rsidRDefault="0057687C">
      <w:pPr>
        <w:numPr>
          <w:ilvl w:val="2"/>
          <w:numId w:val="12"/>
        </w:numPr>
      </w:pPr>
      <w:r>
        <w:t>Architectural de</w:t>
      </w:r>
      <w:r>
        <w:t>tails and finish materials for the base of a building should be constructed of architectural concrete or precast cementitious panels, natural or cast stone, heavy gauge metal panels, glazed or unglazed architectural terracotta, or brick.</w:t>
      </w:r>
    </w:p>
    <w:p w14:paraId="46F8035D" w14:textId="77777777" w:rsidR="0044292D" w:rsidRDefault="0057687C">
      <w:pPr>
        <w:numPr>
          <w:ilvl w:val="2"/>
          <w:numId w:val="12"/>
        </w:numPr>
      </w:pPr>
      <w:r>
        <w:t>Exterior Insulatio</w:t>
      </w:r>
      <w:r>
        <w:t>n and Finish Systems (EIFS) should be avoided.</w:t>
      </w:r>
    </w:p>
    <w:p w14:paraId="33A5E4E5" w14:textId="77777777" w:rsidR="0044292D" w:rsidRDefault="0057687C">
      <w:pPr>
        <w:numPr>
          <w:ilvl w:val="1"/>
          <w:numId w:val="12"/>
        </w:numPr>
      </w:pPr>
      <w:r>
        <w:t>Fenestration</w:t>
      </w:r>
    </w:p>
    <w:p w14:paraId="7E4B046C" w14:textId="77777777" w:rsidR="0044292D" w:rsidRDefault="0057687C">
      <w:pPr>
        <w:numPr>
          <w:ilvl w:val="2"/>
          <w:numId w:val="12"/>
        </w:numPr>
      </w:pPr>
      <w:r>
        <w:lastRenderedPageBreak/>
        <w:t>Fenestration glazing should be inset from the plane of exterior wall surfaces.</w:t>
      </w:r>
    </w:p>
    <w:p w14:paraId="1EF59E45" w14:textId="77777777" w:rsidR="0044292D" w:rsidRDefault="0057687C">
      <w:pPr>
        <w:numPr>
          <w:ilvl w:val="2"/>
          <w:numId w:val="12"/>
        </w:numPr>
      </w:pPr>
      <w:r>
        <w:t xml:space="preserve">Ribbon windows should be avoided. </w:t>
      </w:r>
    </w:p>
    <w:p w14:paraId="4FC57A6F" w14:textId="77777777" w:rsidR="0044292D" w:rsidRDefault="0057687C">
      <w:pPr>
        <w:numPr>
          <w:ilvl w:val="1"/>
          <w:numId w:val="12"/>
        </w:numPr>
      </w:pPr>
      <w:r>
        <w:t>Building Entrances</w:t>
      </w:r>
    </w:p>
    <w:p w14:paraId="65F6C518" w14:textId="77777777" w:rsidR="0044292D" w:rsidRDefault="0057687C">
      <w:pPr>
        <w:numPr>
          <w:ilvl w:val="2"/>
          <w:numId w:val="12"/>
        </w:numPr>
      </w:pPr>
      <w:r>
        <w:t>Monotonous and repetitive storefront or lobby systems, awnings,</w:t>
      </w:r>
      <w:r>
        <w:t xml:space="preserve"> canopies, sign types, colors, or designs should be avoided.</w:t>
      </w:r>
    </w:p>
    <w:p w14:paraId="46F42294" w14:textId="77777777" w:rsidR="0044292D" w:rsidRDefault="0057687C">
      <w:pPr>
        <w:numPr>
          <w:ilvl w:val="2"/>
          <w:numId w:val="12"/>
        </w:numPr>
      </w:pPr>
      <w:r>
        <w:t>Storefronts and lobby entrances should include awnings or canopies to provide weather protection for pedestrians and reduce glare for storefront display areas. Awnings should be open-ended and op</w:t>
      </w:r>
      <w:r>
        <w:t>erable.</w:t>
      </w:r>
    </w:p>
    <w:p w14:paraId="1EDF6115" w14:textId="77777777" w:rsidR="0044292D" w:rsidRDefault="0057687C">
      <w:pPr>
        <w:numPr>
          <w:ilvl w:val="2"/>
          <w:numId w:val="12"/>
        </w:numPr>
      </w:pPr>
      <w:r>
        <w:t>Lobby entrances for upper story uses should be optimally located, well defined, clearly visible, and separate from the entrance for other ground story uses.</w:t>
      </w:r>
    </w:p>
    <w:p w14:paraId="7A9C29E2" w14:textId="77777777" w:rsidR="0044292D" w:rsidRDefault="0057687C">
      <w:pPr>
        <w:numPr>
          <w:ilvl w:val="2"/>
          <w:numId w:val="12"/>
        </w:numPr>
      </w:pPr>
      <w:r>
        <w:t>Lobbies should be limited in both width and total area to preserve floor space and frontage</w:t>
      </w:r>
      <w:r>
        <w:t xml:space="preserve"> for other ground story uses. Buildings should use any combination of facade articulation, a double-height ceiling, a distinctive doorway, a change in wall material, a change in paving material within the frontage area, or some other architectural element(</w:t>
      </w:r>
      <w:r>
        <w:t xml:space="preserve">s) to make lobbies visual and materially distinctive. </w:t>
      </w:r>
    </w:p>
    <w:p w14:paraId="53FFB956" w14:textId="77777777" w:rsidR="0044292D" w:rsidRDefault="0057687C">
      <w:pPr>
        <w:numPr>
          <w:ilvl w:val="2"/>
          <w:numId w:val="12"/>
        </w:numPr>
      </w:pPr>
      <w:r>
        <w:t>For buildings with residential uses on the ground floor fronting a public right-of-way, individual unit entrances are required.</w:t>
      </w:r>
    </w:p>
    <w:p w14:paraId="14760A5C" w14:textId="77777777" w:rsidR="0044292D" w:rsidRDefault="0057687C">
      <w:pPr>
        <w:numPr>
          <w:ilvl w:val="1"/>
          <w:numId w:val="12"/>
        </w:numPr>
      </w:pPr>
      <w:r>
        <w:t>Adaptive Reuse</w:t>
      </w:r>
    </w:p>
    <w:p w14:paraId="0F783767" w14:textId="77777777" w:rsidR="0044292D" w:rsidRDefault="0057687C">
      <w:pPr>
        <w:numPr>
          <w:ilvl w:val="2"/>
          <w:numId w:val="12"/>
        </w:numPr>
      </w:pPr>
      <w:r>
        <w:t>[reserved]</w:t>
      </w:r>
    </w:p>
    <w:p w14:paraId="11F224F1" w14:textId="77777777" w:rsidR="0044292D" w:rsidRDefault="0057687C">
      <w:pPr>
        <w:numPr>
          <w:ilvl w:val="1"/>
          <w:numId w:val="12"/>
        </w:numPr>
      </w:pPr>
      <w:r>
        <w:t>Roof Features</w:t>
      </w:r>
    </w:p>
    <w:p w14:paraId="117FDFB6" w14:textId="77777777" w:rsidR="0044292D" w:rsidRDefault="0057687C">
      <w:pPr>
        <w:numPr>
          <w:ilvl w:val="2"/>
          <w:numId w:val="12"/>
        </w:numPr>
      </w:pPr>
      <w:r>
        <w:t>[reserved]</w:t>
      </w:r>
    </w:p>
    <w:p w14:paraId="71B5F865" w14:textId="77777777" w:rsidR="0044292D" w:rsidRDefault="0057687C">
      <w:pPr>
        <w:numPr>
          <w:ilvl w:val="1"/>
          <w:numId w:val="12"/>
        </w:numPr>
      </w:pPr>
      <w:r>
        <w:t>Mechanical Equipment</w:t>
      </w:r>
    </w:p>
    <w:p w14:paraId="6D072C21" w14:textId="77777777" w:rsidR="0044292D" w:rsidRDefault="0057687C">
      <w:pPr>
        <w:numPr>
          <w:ilvl w:val="2"/>
          <w:numId w:val="12"/>
        </w:numPr>
      </w:pPr>
      <w:r>
        <w:t>Ground-mounted mechanical equipment is discouraged along a Front Elevation.</w:t>
      </w:r>
    </w:p>
    <w:p w14:paraId="4734EE7D" w14:textId="77777777" w:rsidR="0044292D" w:rsidRDefault="0057687C">
      <w:pPr>
        <w:numPr>
          <w:ilvl w:val="2"/>
          <w:numId w:val="12"/>
        </w:numPr>
      </w:pPr>
      <w:r>
        <w:t>Ground-mounted mechanical equipment should be located a minimum of twenty (20) feet from the Front Elevation and screened so as not to be visible to a pedestri</w:t>
      </w:r>
      <w:r>
        <w:t>an from within the right-of-way along the Front Elevation. See Section 5.1.9. Screening.</w:t>
      </w:r>
    </w:p>
    <w:p w14:paraId="54AE1F08" w14:textId="77777777" w:rsidR="0044292D" w:rsidRDefault="0057687C">
      <w:pPr>
        <w:numPr>
          <w:ilvl w:val="2"/>
          <w:numId w:val="12"/>
        </w:numPr>
      </w:pPr>
      <w:r>
        <w:t xml:space="preserve">Vents, exhausts, and other utility features on building facades should be architecturally integrated into the design of the building and should be located to minimize </w:t>
      </w:r>
      <w:r>
        <w:t>adverse effects on pedestrian comfort along sidewalks and within open spaces.</w:t>
      </w:r>
    </w:p>
    <w:p w14:paraId="36E945C8" w14:textId="77777777" w:rsidR="0044292D" w:rsidRDefault="0057687C">
      <w:pPr>
        <w:numPr>
          <w:ilvl w:val="2"/>
          <w:numId w:val="12"/>
        </w:numPr>
      </w:pPr>
      <w:r>
        <w:t>Mechanical penthouses and screening should be located to minimize adverse environmental impacts on civic spaces, sidewalks, and abutting lots.</w:t>
      </w:r>
    </w:p>
    <w:p w14:paraId="2E26D543" w14:textId="77777777" w:rsidR="0044292D" w:rsidRDefault="0057687C">
      <w:pPr>
        <w:numPr>
          <w:ilvl w:val="2"/>
          <w:numId w:val="12"/>
        </w:numPr>
      </w:pPr>
      <w:r>
        <w:t xml:space="preserve">Vents, stacks, </w:t>
      </w:r>
      <w:proofErr w:type="gramStart"/>
      <w:r>
        <w:t>railings</w:t>
      </w:r>
      <w:proofErr w:type="gramEnd"/>
      <w:r>
        <w:t xml:space="preserve"> and other c</w:t>
      </w:r>
      <w:r>
        <w:t xml:space="preserve">omponents of mechanical equipment required to be outdoors or to project above a </w:t>
      </w:r>
      <w:r>
        <w:lastRenderedPageBreak/>
        <w:t>penthouse should be limited in height and located toward the center of the roof to every extent practicable.</w:t>
      </w:r>
    </w:p>
    <w:p w14:paraId="22D02962" w14:textId="77777777" w:rsidR="0044292D" w:rsidRDefault="0057687C">
      <w:pPr>
        <w:numPr>
          <w:ilvl w:val="0"/>
          <w:numId w:val="12"/>
        </w:numPr>
      </w:pPr>
      <w:r>
        <w:t>Site Guidelines</w:t>
      </w:r>
    </w:p>
    <w:p w14:paraId="26D0575D" w14:textId="77777777" w:rsidR="0044292D" w:rsidRDefault="0057687C">
      <w:pPr>
        <w:numPr>
          <w:ilvl w:val="1"/>
          <w:numId w:val="12"/>
        </w:numPr>
      </w:pPr>
      <w:r>
        <w:t>Landscape and Stormwater Management</w:t>
      </w:r>
    </w:p>
    <w:p w14:paraId="21B45E8F" w14:textId="77777777" w:rsidR="0044292D" w:rsidRDefault="0057687C">
      <w:pPr>
        <w:numPr>
          <w:ilvl w:val="2"/>
          <w:numId w:val="12"/>
        </w:numPr>
      </w:pPr>
      <w:r>
        <w:t xml:space="preserve">Low-Impact-Development practices consistent with state law, such as Rain Gardens and bioswales, should be installed to treat and infiltrate runoff from parking lots, thoroughfares, entry plazas, dining patios, and other </w:t>
      </w:r>
      <w:r>
        <w:t>impervious surfaces.</w:t>
      </w:r>
    </w:p>
    <w:p w14:paraId="1F9C4A46" w14:textId="77777777" w:rsidR="0044292D" w:rsidRDefault="0057687C">
      <w:pPr>
        <w:numPr>
          <w:ilvl w:val="2"/>
          <w:numId w:val="12"/>
        </w:numPr>
      </w:pPr>
      <w:r>
        <w:t>Lot areas not covered by structures or impermeable surfaces should be Landscape Areas, as defined:</w:t>
      </w:r>
    </w:p>
    <w:p w14:paraId="49DA2D5B" w14:textId="77777777" w:rsidR="0044292D" w:rsidRDefault="0057687C">
      <w:pPr>
        <w:numPr>
          <w:ilvl w:val="3"/>
          <w:numId w:val="12"/>
        </w:numPr>
      </w:pPr>
      <w:r>
        <w:t xml:space="preserve">Landscape Area. The area of a lot covered by any combination of </w:t>
      </w:r>
      <w:proofErr w:type="gramStart"/>
      <w:r>
        <w:t>trees,  shrubs</w:t>
      </w:r>
      <w:proofErr w:type="gramEnd"/>
      <w:r>
        <w:t>, perennials, grass or the horticultural elements, decorat</w:t>
      </w:r>
      <w:r>
        <w:t>ive stonework, pavers, screening, or other landscape architectural elements, all of which are designed to absorb and filter stormwater runoff, enhance the visual amenity of a property, and/or to provide an amenity for common use by the occupants of a build</w:t>
      </w:r>
      <w:r>
        <w:t>ing.</w:t>
      </w:r>
    </w:p>
    <w:p w14:paraId="520AD24D" w14:textId="77777777" w:rsidR="0044292D" w:rsidRDefault="0057687C">
      <w:pPr>
        <w:numPr>
          <w:ilvl w:val="2"/>
          <w:numId w:val="12"/>
        </w:numPr>
      </w:pPr>
      <w:r>
        <w:t>Where vegetative solutions are not feasible, permeable pavers, porous concrete, or porous asphalt should be used for sidewalks, parking lots, entry plazas, and dining patios to infiltrate stormwater.</w:t>
      </w:r>
    </w:p>
    <w:p w14:paraId="0432B070" w14:textId="77777777" w:rsidR="0044292D" w:rsidRDefault="0057687C">
      <w:pPr>
        <w:numPr>
          <w:ilvl w:val="1"/>
          <w:numId w:val="12"/>
        </w:numPr>
      </w:pPr>
      <w:r>
        <w:t>Parking and Driveway</w:t>
      </w:r>
    </w:p>
    <w:p w14:paraId="27A771B6" w14:textId="77777777" w:rsidR="0044292D" w:rsidRDefault="0057687C">
      <w:pPr>
        <w:numPr>
          <w:ilvl w:val="2"/>
          <w:numId w:val="12"/>
        </w:numPr>
      </w:pPr>
      <w:r>
        <w:t>Driveways are discouraged betw</w:t>
      </w:r>
      <w:r>
        <w:t>een the Front Elevation of a building and the front lot line (driveways are encouraged to be to the side of a building).</w:t>
      </w:r>
    </w:p>
    <w:p w14:paraId="5DC20F5C" w14:textId="77777777" w:rsidR="0044292D" w:rsidRDefault="0057687C">
      <w:pPr>
        <w:numPr>
          <w:ilvl w:val="2"/>
          <w:numId w:val="12"/>
        </w:numPr>
      </w:pPr>
      <w:r>
        <w:t>Parking Structure Design</w:t>
      </w:r>
    </w:p>
    <w:p w14:paraId="78D417C2" w14:textId="77777777" w:rsidR="0044292D" w:rsidRDefault="0057687C">
      <w:pPr>
        <w:numPr>
          <w:ilvl w:val="3"/>
          <w:numId w:val="12"/>
        </w:numPr>
      </w:pPr>
      <w:r>
        <w:t>Garage facades visible from within a public right-of-way of a Street must be screened with architectural and/o</w:t>
      </w:r>
      <w:r>
        <w:t>r landscape elements.</w:t>
      </w:r>
    </w:p>
    <w:p w14:paraId="7BA0576C" w14:textId="77777777" w:rsidR="0044292D" w:rsidRDefault="0057687C">
      <w:pPr>
        <w:numPr>
          <w:ilvl w:val="3"/>
          <w:numId w:val="12"/>
        </w:numPr>
      </w:pPr>
      <w:r>
        <w:t>Parking structure access ramps must not be exposed along a Front Elevation.</w:t>
      </w:r>
    </w:p>
    <w:p w14:paraId="5146C471" w14:textId="77777777" w:rsidR="0044292D" w:rsidRDefault="0057687C">
      <w:pPr>
        <w:numPr>
          <w:ilvl w:val="1"/>
          <w:numId w:val="12"/>
        </w:numPr>
      </w:pPr>
      <w:r>
        <w:t>Loading</w:t>
      </w:r>
    </w:p>
    <w:p w14:paraId="22EB06C8" w14:textId="77777777" w:rsidR="0044292D" w:rsidRDefault="0057687C">
      <w:pPr>
        <w:numPr>
          <w:ilvl w:val="2"/>
          <w:numId w:val="12"/>
        </w:numPr>
      </w:pPr>
      <w:r>
        <w:t>Interior loading should be screened from view by solid, non-transparent doors which must remain closed when the loading dock is not in use.</w:t>
      </w:r>
    </w:p>
    <w:sectPr w:rsidR="0044292D">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03CE" w14:textId="77777777" w:rsidR="00000000" w:rsidRDefault="0057687C">
      <w:pPr>
        <w:spacing w:line="240" w:lineRule="auto"/>
      </w:pPr>
      <w:r>
        <w:separator/>
      </w:r>
    </w:p>
  </w:endnote>
  <w:endnote w:type="continuationSeparator" w:id="0">
    <w:p w14:paraId="539CDBD9" w14:textId="77777777" w:rsidR="00000000" w:rsidRDefault="00576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603E" w14:textId="77777777" w:rsidR="0044292D" w:rsidRDefault="0057687C">
    <w:pPr>
      <w:jc w:val="right"/>
    </w:pPr>
    <w:r>
      <w:fldChar w:fldCharType="begin"/>
    </w:r>
    <w:r>
      <w:instrText>PAGE</w:instrText>
    </w:r>
    <w:r>
      <w:fldChar w:fldCharType="separate"/>
    </w:r>
    <w:r w:rsidR="0077763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7105" w14:textId="77777777" w:rsidR="0044292D" w:rsidRDefault="00442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F76E" w14:textId="77777777" w:rsidR="00000000" w:rsidRDefault="0057687C">
      <w:pPr>
        <w:spacing w:line="240" w:lineRule="auto"/>
      </w:pPr>
      <w:r>
        <w:separator/>
      </w:r>
    </w:p>
  </w:footnote>
  <w:footnote w:type="continuationSeparator" w:id="0">
    <w:p w14:paraId="6D9BA6D1" w14:textId="77777777" w:rsidR="00000000" w:rsidRDefault="0057687C">
      <w:pPr>
        <w:spacing w:line="240" w:lineRule="auto"/>
      </w:pPr>
      <w:r>
        <w:continuationSeparator/>
      </w:r>
    </w:p>
  </w:footnote>
  <w:footnote w:id="1">
    <w:p w14:paraId="4F9132AB" w14:textId="77777777" w:rsidR="0044292D" w:rsidRDefault="0057687C">
      <w:pPr>
        <w:spacing w:line="240" w:lineRule="auto"/>
        <w:rPr>
          <w:sz w:val="20"/>
          <w:szCs w:val="20"/>
        </w:rPr>
      </w:pPr>
      <w:r>
        <w:rPr>
          <w:vertAlign w:val="superscript"/>
        </w:rPr>
        <w:footnoteRef/>
      </w:r>
      <w:r>
        <w:rPr>
          <w:sz w:val="20"/>
          <w:szCs w:val="20"/>
        </w:rPr>
        <w:t xml:space="preserve"> The VCOD is designed to be an “opt in” overlay district.</w:t>
      </w:r>
    </w:p>
  </w:footnote>
  <w:footnote w:id="2">
    <w:p w14:paraId="1051B1C0" w14:textId="77777777" w:rsidR="0044292D" w:rsidRDefault="0057687C">
      <w:pPr>
        <w:spacing w:line="240" w:lineRule="auto"/>
        <w:rPr>
          <w:sz w:val="20"/>
          <w:szCs w:val="20"/>
        </w:rPr>
      </w:pPr>
      <w:r>
        <w:rPr>
          <w:vertAlign w:val="superscript"/>
        </w:rPr>
        <w:footnoteRef/>
      </w:r>
      <w:r>
        <w:rPr>
          <w:sz w:val="20"/>
          <w:szCs w:val="20"/>
        </w:rPr>
        <w:t xml:space="preserve"> The Law Department is currency reviewing how the</w:t>
      </w:r>
      <w:r>
        <w:rPr>
          <w:sz w:val="20"/>
          <w:szCs w:val="20"/>
        </w:rPr>
        <w:t xml:space="preserve"> overlay district will handle non-conformities.</w:t>
      </w:r>
    </w:p>
  </w:footnote>
  <w:footnote w:id="3">
    <w:p w14:paraId="291CCE3F" w14:textId="77777777" w:rsidR="0044292D" w:rsidRDefault="0057687C">
      <w:pPr>
        <w:spacing w:line="240" w:lineRule="auto"/>
        <w:rPr>
          <w:sz w:val="20"/>
          <w:szCs w:val="20"/>
        </w:rPr>
      </w:pPr>
      <w:r>
        <w:rPr>
          <w:vertAlign w:val="superscript"/>
        </w:rPr>
        <w:footnoteRef/>
      </w:r>
      <w:r>
        <w:rPr>
          <w:sz w:val="20"/>
          <w:szCs w:val="20"/>
        </w:rPr>
        <w:t xml:space="preserve"> A Special Permit is only allowed where explicitly stated.</w:t>
      </w:r>
    </w:p>
  </w:footnote>
  <w:footnote w:id="4">
    <w:p w14:paraId="512102E7" w14:textId="77777777" w:rsidR="0044292D" w:rsidRDefault="0057687C">
      <w:pPr>
        <w:spacing w:line="240" w:lineRule="auto"/>
        <w:rPr>
          <w:sz w:val="20"/>
          <w:szCs w:val="20"/>
        </w:rPr>
      </w:pPr>
      <w:r>
        <w:rPr>
          <w:vertAlign w:val="superscript"/>
        </w:rPr>
        <w:footnoteRef/>
      </w:r>
      <w:r>
        <w:rPr>
          <w:sz w:val="20"/>
          <w:szCs w:val="20"/>
        </w:rPr>
        <w:t xml:space="preserve"> The VCOD primar</w:t>
      </w:r>
      <w:r>
        <w:rPr>
          <w:sz w:val="20"/>
          <w:szCs w:val="20"/>
        </w:rPr>
        <w:t xml:space="preserve">y dimensional controls are building footprint, maximum height/number of stories, roof form, and setbacks. Controls in other parts of the code (FAR, Lot Area Per Unit, Minimum Lot Size, etc.) do not apply. </w:t>
      </w:r>
    </w:p>
  </w:footnote>
  <w:footnote w:id="5">
    <w:p w14:paraId="7A7944B6" w14:textId="77777777" w:rsidR="0044292D" w:rsidRDefault="0057687C">
      <w:pPr>
        <w:spacing w:line="240" w:lineRule="auto"/>
        <w:rPr>
          <w:sz w:val="20"/>
          <w:szCs w:val="20"/>
        </w:rPr>
      </w:pPr>
      <w:r>
        <w:rPr>
          <w:vertAlign w:val="superscript"/>
        </w:rPr>
        <w:footnoteRef/>
      </w:r>
      <w:r>
        <w:rPr>
          <w:sz w:val="20"/>
          <w:szCs w:val="20"/>
        </w:rPr>
        <w:t xml:space="preserve"> Additional analysis needed if limited commercial ground floor uses may be allowed by Special Permit in the VC1 or if it should only allow multi-fa</w:t>
      </w:r>
      <w:r>
        <w:rPr>
          <w:sz w:val="20"/>
          <w:szCs w:val="20"/>
        </w:rPr>
        <w:t>mily residential</w:t>
      </w:r>
    </w:p>
  </w:footnote>
  <w:footnote w:id="6">
    <w:p w14:paraId="194DF06F" w14:textId="77777777" w:rsidR="0044292D" w:rsidRDefault="0057687C">
      <w:pPr>
        <w:spacing w:line="240" w:lineRule="auto"/>
        <w:rPr>
          <w:sz w:val="20"/>
          <w:szCs w:val="20"/>
        </w:rPr>
      </w:pPr>
      <w:r>
        <w:rPr>
          <w:vertAlign w:val="superscript"/>
        </w:rPr>
        <w:footnoteRef/>
      </w:r>
      <w:r>
        <w:rPr>
          <w:sz w:val="20"/>
          <w:szCs w:val="20"/>
        </w:rPr>
        <w:t xml:space="preserve"> This incentivizes public space along the street and varied building design.</w:t>
      </w:r>
    </w:p>
  </w:footnote>
  <w:footnote w:id="7">
    <w:p w14:paraId="5E0D7E9B" w14:textId="77777777" w:rsidR="0044292D" w:rsidRDefault="0057687C">
      <w:pPr>
        <w:spacing w:line="240" w:lineRule="auto"/>
        <w:rPr>
          <w:sz w:val="20"/>
          <w:szCs w:val="20"/>
        </w:rPr>
      </w:pPr>
      <w:r>
        <w:rPr>
          <w:vertAlign w:val="superscript"/>
        </w:rPr>
        <w:footnoteRef/>
      </w:r>
      <w:r>
        <w:rPr>
          <w:sz w:val="20"/>
          <w:szCs w:val="20"/>
        </w:rPr>
        <w:t xml:space="preserve"> </w:t>
      </w:r>
      <w:r>
        <w:t>Staff is exploring a Special Permit allowance of an additional one-story with specific criteria tied to an increase in affordable housing</w:t>
      </w:r>
    </w:p>
  </w:footnote>
  <w:footnote w:id="8">
    <w:p w14:paraId="46BEE78F" w14:textId="77777777" w:rsidR="0044292D" w:rsidRDefault="0057687C">
      <w:pPr>
        <w:spacing w:line="240" w:lineRule="auto"/>
        <w:rPr>
          <w:sz w:val="20"/>
          <w:szCs w:val="20"/>
        </w:rPr>
      </w:pPr>
      <w:r>
        <w:rPr>
          <w:vertAlign w:val="superscript"/>
        </w:rPr>
        <w:footnoteRef/>
      </w:r>
      <w:r>
        <w:rPr>
          <w:sz w:val="20"/>
          <w:szCs w:val="20"/>
        </w:rPr>
        <w:t xml:space="preserve"> It may be appropriate to tie the Special Permit increase in building footprint to additional affordable housing requirements as well.</w:t>
      </w:r>
    </w:p>
  </w:footnote>
  <w:footnote w:id="9">
    <w:p w14:paraId="24C63E54" w14:textId="77777777" w:rsidR="0044292D" w:rsidRDefault="0057687C">
      <w:pPr>
        <w:spacing w:line="240" w:lineRule="auto"/>
        <w:rPr>
          <w:sz w:val="20"/>
          <w:szCs w:val="20"/>
        </w:rPr>
      </w:pPr>
      <w:r>
        <w:rPr>
          <w:vertAlign w:val="superscript"/>
        </w:rPr>
        <w:footnoteRef/>
      </w:r>
      <w:r>
        <w:rPr>
          <w:sz w:val="20"/>
          <w:szCs w:val="20"/>
        </w:rPr>
        <w:t xml:space="preserve"> Including this woul</w:t>
      </w:r>
      <w:r>
        <w:rPr>
          <w:sz w:val="20"/>
          <w:szCs w:val="20"/>
        </w:rPr>
        <w:t>d require the creation of a new use.</w:t>
      </w:r>
    </w:p>
  </w:footnote>
  <w:footnote w:id="10">
    <w:p w14:paraId="6451ED23" w14:textId="77777777" w:rsidR="0044292D" w:rsidRDefault="0057687C">
      <w:pPr>
        <w:spacing w:line="240" w:lineRule="auto"/>
        <w:rPr>
          <w:sz w:val="20"/>
          <w:szCs w:val="20"/>
        </w:rPr>
      </w:pPr>
      <w:r>
        <w:rPr>
          <w:vertAlign w:val="superscript"/>
        </w:rPr>
        <w:footnoteRef/>
      </w:r>
      <w:r>
        <w:rPr>
          <w:sz w:val="20"/>
          <w:szCs w:val="20"/>
        </w:rPr>
        <w:t xml:space="preserve"> Services associated with personal grooming, personal instruction, and the maintenance of fitness, health, and well-bein</w:t>
      </w:r>
      <w:r>
        <w:rPr>
          <w:sz w:val="20"/>
          <w:szCs w:val="20"/>
        </w:rPr>
        <w:t>g.</w:t>
      </w:r>
    </w:p>
  </w:footnote>
  <w:footnote w:id="11">
    <w:p w14:paraId="360342A3" w14:textId="77777777" w:rsidR="0044292D" w:rsidRDefault="0057687C">
      <w:pPr>
        <w:spacing w:line="240" w:lineRule="auto"/>
        <w:rPr>
          <w:sz w:val="20"/>
          <w:szCs w:val="20"/>
        </w:rPr>
      </w:pPr>
      <w:r>
        <w:rPr>
          <w:vertAlign w:val="superscript"/>
        </w:rPr>
        <w:footnoteRef/>
      </w:r>
      <w:r>
        <w:rPr>
          <w:sz w:val="20"/>
          <w:szCs w:val="20"/>
        </w:rPr>
        <w:t xml:space="preserve"> Including this would require the creation of a new use.</w:t>
      </w:r>
    </w:p>
  </w:footnote>
  <w:footnote w:id="12">
    <w:p w14:paraId="362048C6" w14:textId="77777777" w:rsidR="0044292D" w:rsidRDefault="0057687C">
      <w:pPr>
        <w:spacing w:line="240" w:lineRule="auto"/>
        <w:rPr>
          <w:sz w:val="20"/>
          <w:szCs w:val="20"/>
        </w:rPr>
      </w:pPr>
      <w:r>
        <w:rPr>
          <w:vertAlign w:val="superscript"/>
        </w:rPr>
        <w:footnoteRef/>
      </w:r>
      <w:r>
        <w:rPr>
          <w:sz w:val="20"/>
          <w:szCs w:val="20"/>
        </w:rPr>
        <w:t xml:space="preserve"> Relaxing or waiving certain requirements for development projects that maintain existing buildings will encourage their reuse. Staff are researching possible r</w:t>
      </w:r>
      <w:r>
        <w:rPr>
          <w:sz w:val="20"/>
          <w:szCs w:val="20"/>
        </w:rPr>
        <w:t>egulations.</w:t>
      </w:r>
    </w:p>
  </w:footnote>
  <w:footnote w:id="13">
    <w:p w14:paraId="0F949A71" w14:textId="77777777" w:rsidR="0044292D" w:rsidRDefault="0057687C">
      <w:pPr>
        <w:spacing w:line="240" w:lineRule="auto"/>
        <w:rPr>
          <w:sz w:val="20"/>
          <w:szCs w:val="20"/>
        </w:rPr>
      </w:pPr>
      <w:r>
        <w:rPr>
          <w:vertAlign w:val="superscript"/>
        </w:rPr>
        <w:footnoteRef/>
      </w:r>
      <w:r>
        <w:rPr>
          <w:sz w:val="20"/>
          <w:szCs w:val="20"/>
        </w:rPr>
        <w:t xml:space="preserve"> Further refinement will occur through coordination with Inspectional Services.</w:t>
      </w:r>
    </w:p>
  </w:footnote>
  <w:footnote w:id="14">
    <w:p w14:paraId="52F5919A" w14:textId="77777777" w:rsidR="0044292D" w:rsidRDefault="0057687C">
      <w:pPr>
        <w:spacing w:line="240" w:lineRule="auto"/>
        <w:rPr>
          <w:sz w:val="20"/>
          <w:szCs w:val="20"/>
        </w:rPr>
      </w:pPr>
      <w:r>
        <w:rPr>
          <w:vertAlign w:val="superscript"/>
        </w:rPr>
        <w:footnoteRef/>
      </w:r>
      <w:r>
        <w:rPr>
          <w:sz w:val="20"/>
          <w:szCs w:val="20"/>
        </w:rPr>
        <w:t xml:space="preserve"> Additional regulations are required for shared parking.</w:t>
      </w:r>
    </w:p>
  </w:footnote>
  <w:footnote w:id="15">
    <w:p w14:paraId="31DFB5C2" w14:textId="77777777" w:rsidR="0044292D" w:rsidRDefault="0057687C">
      <w:pPr>
        <w:spacing w:line="240" w:lineRule="auto"/>
        <w:rPr>
          <w:sz w:val="20"/>
          <w:szCs w:val="20"/>
        </w:rPr>
      </w:pPr>
      <w:r>
        <w:rPr>
          <w:vertAlign w:val="superscript"/>
        </w:rPr>
        <w:footnoteRef/>
      </w:r>
      <w:r>
        <w:rPr>
          <w:sz w:val="20"/>
          <w:szCs w:val="20"/>
        </w:rPr>
        <w:t xml:space="preserve"> Staff is coordinating with DPW to ensure the appropriate metrics.</w:t>
      </w:r>
    </w:p>
  </w:footnote>
  <w:footnote w:id="16">
    <w:p w14:paraId="6E4CB422" w14:textId="77777777" w:rsidR="0044292D" w:rsidRDefault="0057687C">
      <w:pPr>
        <w:spacing w:line="240" w:lineRule="auto"/>
        <w:rPr>
          <w:sz w:val="20"/>
          <w:szCs w:val="20"/>
        </w:rPr>
      </w:pPr>
      <w:r>
        <w:rPr>
          <w:vertAlign w:val="superscript"/>
        </w:rPr>
        <w:footnoteRef/>
      </w:r>
      <w:r>
        <w:rPr>
          <w:sz w:val="20"/>
          <w:szCs w:val="20"/>
        </w:rPr>
        <w:t xml:space="preserve"> Figure to be added.</w:t>
      </w:r>
    </w:p>
  </w:footnote>
  <w:footnote w:id="17">
    <w:p w14:paraId="0FA76255" w14:textId="77777777" w:rsidR="0044292D" w:rsidRDefault="0057687C">
      <w:pPr>
        <w:spacing w:line="240" w:lineRule="auto"/>
        <w:rPr>
          <w:sz w:val="20"/>
          <w:szCs w:val="20"/>
        </w:rPr>
      </w:pPr>
      <w:r>
        <w:rPr>
          <w:vertAlign w:val="superscript"/>
        </w:rPr>
        <w:footnoteRef/>
      </w:r>
      <w:r>
        <w:rPr>
          <w:sz w:val="20"/>
          <w:szCs w:val="20"/>
        </w:rPr>
        <w:t xml:space="preserve"> This simplified use table will be replaced by a comprehensive use table in the next draft. Not all commercial and civic/institutional uses will be a</w:t>
      </w:r>
      <w:r>
        <w:rPr>
          <w:sz w:val="20"/>
          <w:szCs w:val="20"/>
        </w:rPr>
        <w:t>llowed by-right.</w:t>
      </w:r>
    </w:p>
  </w:footnote>
  <w:footnote w:id="18">
    <w:p w14:paraId="23741299" w14:textId="77777777" w:rsidR="0044292D" w:rsidRDefault="0057687C">
      <w:pPr>
        <w:spacing w:line="240" w:lineRule="auto"/>
        <w:rPr>
          <w:sz w:val="20"/>
          <w:szCs w:val="20"/>
        </w:rPr>
      </w:pPr>
      <w:r>
        <w:rPr>
          <w:vertAlign w:val="superscript"/>
        </w:rPr>
        <w:footnoteRef/>
      </w:r>
      <w:r>
        <w:rPr>
          <w:sz w:val="20"/>
          <w:szCs w:val="20"/>
        </w:rPr>
        <w:t xml:space="preserve"> Additional analysis needed if limited mixed-use/commercial may be allowed by Special Permit in VC1</w:t>
      </w:r>
    </w:p>
  </w:footnote>
  <w:footnote w:id="19">
    <w:p w14:paraId="36FA4881" w14:textId="77777777" w:rsidR="0044292D" w:rsidRDefault="0057687C">
      <w:pPr>
        <w:spacing w:line="240" w:lineRule="auto"/>
        <w:rPr>
          <w:sz w:val="20"/>
          <w:szCs w:val="20"/>
        </w:rPr>
      </w:pPr>
      <w:r>
        <w:rPr>
          <w:vertAlign w:val="superscript"/>
        </w:rPr>
        <w:footnoteRef/>
      </w:r>
      <w:r>
        <w:rPr>
          <w:sz w:val="20"/>
          <w:szCs w:val="20"/>
        </w:rPr>
        <w:t xml:space="preserve"> Ibid.</w:t>
      </w:r>
    </w:p>
  </w:footnote>
  <w:footnote w:id="20">
    <w:p w14:paraId="3ABC5D4C" w14:textId="77777777" w:rsidR="0044292D" w:rsidRDefault="0057687C">
      <w:pPr>
        <w:spacing w:line="240" w:lineRule="auto"/>
        <w:rPr>
          <w:sz w:val="20"/>
          <w:szCs w:val="20"/>
        </w:rPr>
      </w:pPr>
      <w:r>
        <w:rPr>
          <w:vertAlign w:val="superscript"/>
        </w:rPr>
        <w:footnoteRef/>
      </w:r>
      <w:r>
        <w:rPr>
          <w:sz w:val="20"/>
          <w:szCs w:val="20"/>
        </w:rPr>
        <w:t xml:space="preserve"> This simplified parking t</w:t>
      </w:r>
      <w:r>
        <w:rPr>
          <w:sz w:val="20"/>
          <w:szCs w:val="20"/>
        </w:rPr>
        <w:t>able will be replaced by a comprehensive parking table in the next draft. Not all uses within a given category will have the same parking requirements.</w:t>
      </w:r>
    </w:p>
  </w:footnote>
  <w:footnote w:id="21">
    <w:p w14:paraId="6753FDAE" w14:textId="77777777" w:rsidR="0044292D" w:rsidRDefault="0057687C">
      <w:pPr>
        <w:spacing w:line="240" w:lineRule="auto"/>
        <w:rPr>
          <w:sz w:val="20"/>
          <w:szCs w:val="20"/>
        </w:rPr>
      </w:pPr>
      <w:r>
        <w:rPr>
          <w:vertAlign w:val="superscript"/>
        </w:rPr>
        <w:footnoteRef/>
      </w:r>
      <w:r>
        <w:rPr>
          <w:sz w:val="20"/>
          <w:szCs w:val="20"/>
        </w:rPr>
        <w:t xml:space="preserve"> Staff are exploring reduced parking requirements tied to access to the Green Line and Commuter Rail.</w:t>
      </w:r>
    </w:p>
  </w:footnote>
  <w:footnote w:id="22">
    <w:p w14:paraId="1C37EA95" w14:textId="77777777" w:rsidR="0044292D" w:rsidRDefault="0057687C">
      <w:pPr>
        <w:spacing w:line="240" w:lineRule="auto"/>
        <w:rPr>
          <w:sz w:val="20"/>
          <w:szCs w:val="20"/>
        </w:rPr>
      </w:pPr>
      <w:r>
        <w:rPr>
          <w:vertAlign w:val="superscript"/>
        </w:rPr>
        <w:footnoteRef/>
      </w:r>
      <w:r>
        <w:rPr>
          <w:sz w:val="20"/>
          <w:szCs w:val="20"/>
        </w:rPr>
        <w:t xml:space="preserve"> Table with frontage types (entry plaza, dining patio, gallery, arcade, front garden, etc.) to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7621" w14:textId="77777777" w:rsidR="0044292D" w:rsidRDefault="0057687C">
    <w:r>
      <w:pict w14:anchorId="10ACC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red" stroked="f">
          <v:fill opacity="13107f"/>
          <v:textpath style="font-family:&quot;&amp;quot&quot;;font-size:1pt" string="DRAFT"/>
          <w10:wrap anchorx="margin" anchory="margin"/>
        </v:shape>
      </w:pict>
    </w:r>
    <w:r>
      <w:t>Version 1.0 Zoning Ordinance</w:t>
    </w:r>
    <w:r>
      <w:tab/>
    </w:r>
    <w:r>
      <w:tab/>
    </w:r>
    <w:r>
      <w:tab/>
    </w:r>
    <w:r>
      <w:tab/>
      <w:t xml:space="preserve">          Released: November 23, 2022</w:t>
    </w:r>
  </w:p>
  <w:p w14:paraId="5F519811" w14:textId="77777777" w:rsidR="0044292D" w:rsidRDefault="0057687C">
    <w:r>
      <w:rPr>
        <w:b/>
      </w:rPr>
      <w:t>Village Center Overlay District (VCOD)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DE53" w14:textId="77777777" w:rsidR="0044292D" w:rsidRDefault="0057687C">
    <w:r>
      <w:t>Version 1.0 Zoning Ordinance</w:t>
    </w:r>
    <w:r>
      <w:tab/>
    </w:r>
    <w:r>
      <w:tab/>
    </w:r>
    <w:r>
      <w:tab/>
    </w:r>
    <w:r>
      <w:tab/>
      <w:t xml:space="preserve">          Released: November 23, 2022</w:t>
    </w:r>
  </w:p>
  <w:p w14:paraId="5019ED71" w14:textId="77777777" w:rsidR="0044292D" w:rsidRDefault="0057687C">
    <w:pPr>
      <w:rPr>
        <w:b/>
      </w:rPr>
    </w:pPr>
    <w:r>
      <w:rPr>
        <w:b/>
      </w:rPr>
      <w:t>Village Center Overlay District (VCOD)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E7E"/>
    <w:multiLevelType w:val="multilevel"/>
    <w:tmpl w:val="A07406DC"/>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4AE6017"/>
    <w:multiLevelType w:val="multilevel"/>
    <w:tmpl w:val="205E1088"/>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E761284"/>
    <w:multiLevelType w:val="multilevel"/>
    <w:tmpl w:val="ED127C04"/>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Letter"/>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1E01AEB"/>
    <w:multiLevelType w:val="multilevel"/>
    <w:tmpl w:val="A36E4592"/>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Letter"/>
      <w:lvlText w:val="%3."/>
      <w:lvlJc w:val="left"/>
      <w:pPr>
        <w:ind w:left="2880" w:hanging="360"/>
      </w:pPr>
      <w:rPr>
        <w:u w:val="none"/>
      </w:rPr>
    </w:lvl>
    <w:lvl w:ilvl="3">
      <w:start w:val="1"/>
      <w:numFmt w:val="low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3835367"/>
    <w:multiLevelType w:val="multilevel"/>
    <w:tmpl w:val="C20A8C5A"/>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C7E5DFC"/>
    <w:multiLevelType w:val="multilevel"/>
    <w:tmpl w:val="9A00A1F4"/>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6F2689D"/>
    <w:multiLevelType w:val="multilevel"/>
    <w:tmpl w:val="3006CBB2"/>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4754262E"/>
    <w:multiLevelType w:val="multilevel"/>
    <w:tmpl w:val="D736AB3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13B1A0E"/>
    <w:multiLevelType w:val="multilevel"/>
    <w:tmpl w:val="A1D4C404"/>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57A05C38"/>
    <w:multiLevelType w:val="multilevel"/>
    <w:tmpl w:val="41723E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upperLetter"/>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1621500"/>
    <w:multiLevelType w:val="multilevel"/>
    <w:tmpl w:val="8E54CAB0"/>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Letter"/>
      <w:lvlText w:val="%3."/>
      <w:lvlJc w:val="left"/>
      <w:pPr>
        <w:ind w:left="2880" w:hanging="360"/>
      </w:pPr>
      <w:rPr>
        <w:u w:val="none"/>
      </w:rPr>
    </w:lvl>
    <w:lvl w:ilvl="3">
      <w:start w:val="1"/>
      <w:numFmt w:val="low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6E50A8C"/>
    <w:multiLevelType w:val="multilevel"/>
    <w:tmpl w:val="8A1AA236"/>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upperLetter"/>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9"/>
  </w:num>
  <w:num w:numId="2">
    <w:abstractNumId w:val="10"/>
  </w:num>
  <w:num w:numId="3">
    <w:abstractNumId w:val="2"/>
  </w:num>
  <w:num w:numId="4">
    <w:abstractNumId w:val="1"/>
  </w:num>
  <w:num w:numId="5">
    <w:abstractNumId w:val="7"/>
  </w:num>
  <w:num w:numId="6">
    <w:abstractNumId w:val="4"/>
  </w:num>
  <w:num w:numId="7">
    <w:abstractNumId w:val="11"/>
  </w:num>
  <w:num w:numId="8">
    <w:abstractNumId w:val="8"/>
  </w:num>
  <w:num w:numId="9">
    <w:abstractNumId w:val="5"/>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2D"/>
    <w:rsid w:val="0044292D"/>
    <w:rsid w:val="0057687C"/>
    <w:rsid w:val="0077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696A"/>
  <w15:docId w15:val="{CDBF1311-252D-4DE5-9DB5-99C813A4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22</Pages>
  <Words>6442</Words>
  <Characters>34146</Characters>
  <Application>Microsoft Office Word</Application>
  <DocSecurity>0</DocSecurity>
  <Lines>609</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Zachery LeMel</cp:lastModifiedBy>
  <cp:revision>2</cp:revision>
  <dcterms:created xsi:type="dcterms:W3CDTF">2022-11-23T18:01:00Z</dcterms:created>
  <dcterms:modified xsi:type="dcterms:W3CDTF">2022-11-23T19:41:00Z</dcterms:modified>
</cp:coreProperties>
</file>