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AF9D9" w14:textId="77777777" w:rsidR="0011790C" w:rsidRPr="0011790C" w:rsidRDefault="0011790C" w:rsidP="0011790C">
      <w:pPr>
        <w:pStyle w:val="ListParagraph"/>
        <w:numPr>
          <w:ilvl w:val="0"/>
          <w:numId w:val="2"/>
        </w:numPr>
        <w:autoSpaceDE w:val="0"/>
        <w:autoSpaceDN w:val="0"/>
        <w:adjustRightInd w:val="0"/>
        <w:spacing w:before="360" w:after="213" w:line="240" w:lineRule="auto"/>
        <w:ind w:right="1818"/>
        <w:contextualSpacing w:val="0"/>
        <w:rPr>
          <w:rFonts w:ascii="Helvetica LT Std" w:hAnsi="Helvetica LT Std" w:cs="Helvetica LT Std"/>
          <w:vanish/>
          <w:color w:val="233F8F"/>
          <w:sz w:val="28"/>
          <w:szCs w:val="28"/>
        </w:rPr>
      </w:pPr>
    </w:p>
    <w:p w14:paraId="126F9B4C" w14:textId="77777777" w:rsidR="0011790C" w:rsidRPr="0011790C" w:rsidRDefault="0011790C" w:rsidP="0011790C">
      <w:pPr>
        <w:pStyle w:val="ListParagraph"/>
        <w:numPr>
          <w:ilvl w:val="0"/>
          <w:numId w:val="2"/>
        </w:numPr>
        <w:autoSpaceDE w:val="0"/>
        <w:autoSpaceDN w:val="0"/>
        <w:adjustRightInd w:val="0"/>
        <w:spacing w:before="360" w:after="213" w:line="240" w:lineRule="auto"/>
        <w:ind w:right="1818"/>
        <w:contextualSpacing w:val="0"/>
        <w:rPr>
          <w:rFonts w:ascii="Helvetica LT Std" w:hAnsi="Helvetica LT Std" w:cs="Helvetica LT Std"/>
          <w:vanish/>
          <w:color w:val="233F8F"/>
          <w:sz w:val="28"/>
          <w:szCs w:val="28"/>
        </w:rPr>
      </w:pPr>
    </w:p>
    <w:p w14:paraId="09F10FAD" w14:textId="77777777" w:rsidR="0011790C" w:rsidRPr="0011790C" w:rsidRDefault="0011790C" w:rsidP="0011790C">
      <w:pPr>
        <w:pStyle w:val="ListParagraph"/>
        <w:numPr>
          <w:ilvl w:val="0"/>
          <w:numId w:val="2"/>
        </w:numPr>
        <w:autoSpaceDE w:val="0"/>
        <w:autoSpaceDN w:val="0"/>
        <w:adjustRightInd w:val="0"/>
        <w:spacing w:before="360" w:after="213" w:line="240" w:lineRule="auto"/>
        <w:ind w:right="1818"/>
        <w:contextualSpacing w:val="0"/>
        <w:rPr>
          <w:rFonts w:ascii="Helvetica LT Std" w:hAnsi="Helvetica LT Std" w:cs="Helvetica LT Std"/>
          <w:vanish/>
          <w:color w:val="233F8F"/>
          <w:sz w:val="28"/>
          <w:szCs w:val="28"/>
        </w:rPr>
      </w:pPr>
    </w:p>
    <w:p w14:paraId="2D0DB3BF" w14:textId="77777777" w:rsidR="0011790C" w:rsidRPr="0011790C" w:rsidRDefault="0011790C" w:rsidP="0011790C">
      <w:pPr>
        <w:pStyle w:val="ListParagraph"/>
        <w:numPr>
          <w:ilvl w:val="0"/>
          <w:numId w:val="2"/>
        </w:numPr>
        <w:autoSpaceDE w:val="0"/>
        <w:autoSpaceDN w:val="0"/>
        <w:adjustRightInd w:val="0"/>
        <w:spacing w:before="360" w:after="213" w:line="240" w:lineRule="auto"/>
        <w:ind w:right="1818"/>
        <w:contextualSpacing w:val="0"/>
        <w:rPr>
          <w:rFonts w:ascii="Helvetica LT Std" w:hAnsi="Helvetica LT Std" w:cs="Helvetica LT Std"/>
          <w:vanish/>
          <w:color w:val="233F8F"/>
          <w:sz w:val="28"/>
          <w:szCs w:val="28"/>
        </w:rPr>
      </w:pPr>
    </w:p>
    <w:p w14:paraId="28086525" w14:textId="77777777" w:rsidR="0011790C" w:rsidRPr="0011790C" w:rsidRDefault="0011790C" w:rsidP="0011790C">
      <w:pPr>
        <w:pStyle w:val="ListParagraph"/>
        <w:numPr>
          <w:ilvl w:val="0"/>
          <w:numId w:val="2"/>
        </w:numPr>
        <w:autoSpaceDE w:val="0"/>
        <w:autoSpaceDN w:val="0"/>
        <w:adjustRightInd w:val="0"/>
        <w:spacing w:before="360" w:after="213" w:line="240" w:lineRule="auto"/>
        <w:ind w:right="1818"/>
        <w:contextualSpacing w:val="0"/>
        <w:rPr>
          <w:rFonts w:ascii="Helvetica LT Std" w:hAnsi="Helvetica LT Std" w:cs="Helvetica LT Std"/>
          <w:vanish/>
          <w:color w:val="233F8F"/>
          <w:sz w:val="28"/>
          <w:szCs w:val="28"/>
        </w:rPr>
      </w:pPr>
    </w:p>
    <w:p w14:paraId="2568CDCD" w14:textId="77777777" w:rsidR="0011790C" w:rsidRPr="0011790C" w:rsidRDefault="0011790C" w:rsidP="0011790C">
      <w:pPr>
        <w:pStyle w:val="ListParagraph"/>
        <w:numPr>
          <w:ilvl w:val="0"/>
          <w:numId w:val="2"/>
        </w:numPr>
        <w:autoSpaceDE w:val="0"/>
        <w:autoSpaceDN w:val="0"/>
        <w:adjustRightInd w:val="0"/>
        <w:spacing w:before="360" w:after="213" w:line="240" w:lineRule="auto"/>
        <w:ind w:right="1818"/>
        <w:contextualSpacing w:val="0"/>
        <w:rPr>
          <w:rFonts w:ascii="Helvetica LT Std" w:hAnsi="Helvetica LT Std" w:cs="Helvetica LT Std"/>
          <w:vanish/>
          <w:color w:val="233F8F"/>
          <w:sz w:val="28"/>
          <w:szCs w:val="28"/>
        </w:rPr>
      </w:pPr>
    </w:p>
    <w:p w14:paraId="39ADD463" w14:textId="77777777" w:rsidR="0011790C" w:rsidRPr="0011790C" w:rsidRDefault="0011790C" w:rsidP="0011790C">
      <w:pPr>
        <w:pStyle w:val="ListParagraph"/>
        <w:numPr>
          <w:ilvl w:val="1"/>
          <w:numId w:val="2"/>
        </w:numPr>
        <w:autoSpaceDE w:val="0"/>
        <w:autoSpaceDN w:val="0"/>
        <w:adjustRightInd w:val="0"/>
        <w:spacing w:before="360" w:after="213" w:line="240" w:lineRule="auto"/>
        <w:ind w:left="720" w:right="1818" w:hanging="720"/>
        <w:contextualSpacing w:val="0"/>
        <w:rPr>
          <w:rFonts w:ascii="Helvetica LT Std" w:hAnsi="Helvetica LT Std" w:cs="Helvetica LT Std"/>
          <w:vanish/>
          <w:color w:val="233F8F"/>
          <w:sz w:val="28"/>
          <w:szCs w:val="28"/>
        </w:rPr>
      </w:pPr>
    </w:p>
    <w:p w14:paraId="58201AF1" w14:textId="77777777" w:rsidR="0011790C" w:rsidRPr="0011790C" w:rsidRDefault="0011790C" w:rsidP="0011790C">
      <w:pPr>
        <w:pStyle w:val="ListParagraph"/>
        <w:numPr>
          <w:ilvl w:val="1"/>
          <w:numId w:val="2"/>
        </w:numPr>
        <w:autoSpaceDE w:val="0"/>
        <w:autoSpaceDN w:val="0"/>
        <w:adjustRightInd w:val="0"/>
        <w:spacing w:before="360" w:after="213" w:line="240" w:lineRule="auto"/>
        <w:ind w:left="720" w:right="1818" w:hanging="720"/>
        <w:contextualSpacing w:val="0"/>
        <w:rPr>
          <w:rFonts w:ascii="Helvetica LT Std" w:hAnsi="Helvetica LT Std" w:cs="Helvetica LT Std"/>
          <w:vanish/>
          <w:color w:val="233F8F"/>
          <w:sz w:val="28"/>
          <w:szCs w:val="28"/>
        </w:rPr>
      </w:pPr>
    </w:p>
    <w:p w14:paraId="0D62D712" w14:textId="77777777" w:rsidR="0011790C" w:rsidRPr="0011790C" w:rsidRDefault="0011790C" w:rsidP="0011790C">
      <w:pPr>
        <w:pStyle w:val="ListParagraph"/>
        <w:numPr>
          <w:ilvl w:val="1"/>
          <w:numId w:val="2"/>
        </w:numPr>
        <w:autoSpaceDE w:val="0"/>
        <w:autoSpaceDN w:val="0"/>
        <w:adjustRightInd w:val="0"/>
        <w:spacing w:before="360" w:after="213" w:line="240" w:lineRule="auto"/>
        <w:ind w:left="720" w:right="1818" w:hanging="720"/>
        <w:contextualSpacing w:val="0"/>
        <w:rPr>
          <w:rFonts w:ascii="Helvetica LT Std" w:hAnsi="Helvetica LT Std" w:cs="Helvetica LT Std"/>
          <w:vanish/>
          <w:color w:val="233F8F"/>
          <w:sz w:val="28"/>
          <w:szCs w:val="28"/>
        </w:rPr>
      </w:pPr>
    </w:p>
    <w:p w14:paraId="1BE3165A" w14:textId="77777777" w:rsidR="0011790C" w:rsidRPr="0011790C" w:rsidRDefault="0011790C" w:rsidP="0011790C">
      <w:pPr>
        <w:pStyle w:val="ListParagraph"/>
        <w:numPr>
          <w:ilvl w:val="1"/>
          <w:numId w:val="2"/>
        </w:numPr>
        <w:autoSpaceDE w:val="0"/>
        <w:autoSpaceDN w:val="0"/>
        <w:adjustRightInd w:val="0"/>
        <w:spacing w:before="360" w:after="213" w:line="240" w:lineRule="auto"/>
        <w:ind w:left="720" w:right="1818" w:hanging="720"/>
        <w:contextualSpacing w:val="0"/>
        <w:rPr>
          <w:rFonts w:ascii="Helvetica LT Std" w:hAnsi="Helvetica LT Std" w:cs="Helvetica LT Std"/>
          <w:vanish/>
          <w:color w:val="233F8F"/>
          <w:sz w:val="28"/>
          <w:szCs w:val="28"/>
        </w:rPr>
      </w:pPr>
    </w:p>
    <w:p w14:paraId="51E16A60" w14:textId="77777777" w:rsidR="0011790C" w:rsidRPr="0011790C" w:rsidRDefault="0011790C" w:rsidP="0011790C">
      <w:pPr>
        <w:pStyle w:val="ListParagraph"/>
        <w:numPr>
          <w:ilvl w:val="1"/>
          <w:numId w:val="2"/>
        </w:numPr>
        <w:autoSpaceDE w:val="0"/>
        <w:autoSpaceDN w:val="0"/>
        <w:adjustRightInd w:val="0"/>
        <w:spacing w:before="360" w:after="213" w:line="240" w:lineRule="auto"/>
        <w:ind w:left="720" w:right="1818" w:hanging="720"/>
        <w:contextualSpacing w:val="0"/>
        <w:rPr>
          <w:rFonts w:ascii="Helvetica LT Std" w:hAnsi="Helvetica LT Std" w:cs="Helvetica LT Std"/>
          <w:vanish/>
          <w:color w:val="233F8F"/>
          <w:sz w:val="28"/>
          <w:szCs w:val="28"/>
        </w:rPr>
      </w:pPr>
    </w:p>
    <w:p w14:paraId="48AC55BE" w14:textId="77777777" w:rsidR="0011790C" w:rsidRPr="0011790C" w:rsidRDefault="0011790C" w:rsidP="0011790C">
      <w:pPr>
        <w:pStyle w:val="ListParagraph"/>
        <w:numPr>
          <w:ilvl w:val="1"/>
          <w:numId w:val="2"/>
        </w:numPr>
        <w:autoSpaceDE w:val="0"/>
        <w:autoSpaceDN w:val="0"/>
        <w:adjustRightInd w:val="0"/>
        <w:spacing w:before="360" w:after="213" w:line="240" w:lineRule="auto"/>
        <w:ind w:left="720" w:right="1818" w:hanging="720"/>
        <w:contextualSpacing w:val="0"/>
        <w:rPr>
          <w:rFonts w:ascii="Helvetica LT Std" w:hAnsi="Helvetica LT Std" w:cs="Helvetica LT Std"/>
          <w:vanish/>
          <w:color w:val="233F8F"/>
          <w:sz w:val="28"/>
          <w:szCs w:val="28"/>
        </w:rPr>
      </w:pPr>
    </w:p>
    <w:p w14:paraId="72F17613" w14:textId="3FC37A94" w:rsidR="009E7F86" w:rsidRDefault="0011790C" w:rsidP="0011790C">
      <w:pPr>
        <w:pStyle w:val="a"/>
      </w:pPr>
      <w:r>
        <w:t>Accessory Uses</w:t>
      </w:r>
    </w:p>
    <w:p w14:paraId="46CDC6D4" w14:textId="57534933" w:rsidR="00F576B5" w:rsidRDefault="0011790C" w:rsidP="00E1460C">
      <w:pPr>
        <w:pStyle w:val="a0"/>
      </w:pPr>
      <w:r>
        <w:t>Accessory Apartments</w:t>
      </w:r>
    </w:p>
    <w:p w14:paraId="3C00B97D" w14:textId="77777777" w:rsidR="0011790C" w:rsidRPr="0011790C" w:rsidRDefault="0011790C" w:rsidP="0011790C">
      <w:pPr>
        <w:pStyle w:val="A3"/>
      </w:pPr>
      <w:r w:rsidRPr="0011790C">
        <w:t>Intent.</w:t>
      </w:r>
      <w:r>
        <w:rPr>
          <w:color w:val="000000" w:themeColor="text1"/>
        </w:rPr>
        <w:t xml:space="preserve"> </w:t>
      </w:r>
      <w:r w:rsidRPr="0011790C">
        <w:rPr>
          <w:color w:val="000000" w:themeColor="text1"/>
        </w:rPr>
        <w:t>Accessory apartments are an allowed accessory use where they are, by design, clearly subordinate to the principal dwelling unit, meeting the requirements of the following section.</w:t>
      </w:r>
    </w:p>
    <w:p w14:paraId="1BA8957A" w14:textId="2E1F70A3" w:rsidR="0011790C" w:rsidRDefault="0011790C" w:rsidP="0011790C">
      <w:pPr>
        <w:pStyle w:val="A3"/>
        <w:numPr>
          <w:ilvl w:val="0"/>
          <w:numId w:val="0"/>
        </w:numPr>
        <w:ind w:left="1800"/>
        <w:rPr>
          <w:rFonts w:cstheme="minorBidi"/>
          <w:color w:val="auto"/>
          <w:szCs w:val="22"/>
        </w:rPr>
      </w:pPr>
      <w:r w:rsidRPr="0011790C">
        <w:rPr>
          <w:rFonts w:cstheme="minorBidi"/>
          <w:color w:val="auto"/>
          <w:szCs w:val="22"/>
        </w:rPr>
        <w:t>Accessory apartments are intended to advance the</w:t>
      </w:r>
      <w:r>
        <w:rPr>
          <w:rFonts w:cstheme="minorBidi"/>
          <w:color w:val="auto"/>
          <w:szCs w:val="22"/>
        </w:rPr>
        <w:t xml:space="preserve"> following:</w:t>
      </w:r>
    </w:p>
    <w:p w14:paraId="0730E154" w14:textId="6B2FBAD7" w:rsidR="0011790C" w:rsidRDefault="0011790C" w:rsidP="0011790C">
      <w:pPr>
        <w:pStyle w:val="a2"/>
      </w:pPr>
      <w:r w:rsidRPr="0011790C">
        <w:t xml:space="preserve">Diversify housing choices in the </w:t>
      </w:r>
      <w:proofErr w:type="gramStart"/>
      <w:r w:rsidRPr="0011790C">
        <w:t>City</w:t>
      </w:r>
      <w:proofErr w:type="gramEnd"/>
      <w:r w:rsidRPr="0011790C">
        <w:t xml:space="preserve"> while respecting the residential character and scale of existing neighborhoods;</w:t>
      </w:r>
    </w:p>
    <w:p w14:paraId="211FC3CB" w14:textId="17D5616C" w:rsidR="0011790C" w:rsidRDefault="0011790C" w:rsidP="0011790C">
      <w:pPr>
        <w:pStyle w:val="a2"/>
      </w:pPr>
      <w:r w:rsidRPr="0011790C">
        <w:t xml:space="preserve">Provide a non-subsidized form of housing that is generally less expensive than similar rental units in multi-family </w:t>
      </w:r>
      <w:proofErr w:type="gramStart"/>
      <w:r w:rsidRPr="0011790C">
        <w:t>buildings;</w:t>
      </w:r>
      <w:proofErr w:type="gramEnd"/>
    </w:p>
    <w:p w14:paraId="700731C4" w14:textId="5EA9A514" w:rsidR="0011790C" w:rsidRDefault="0011790C" w:rsidP="0011790C">
      <w:pPr>
        <w:pStyle w:val="a2"/>
      </w:pPr>
      <w:r w:rsidRPr="0011790C">
        <w:t xml:space="preserve">Create more housing units with minimal adverse effects on Newton’s </w:t>
      </w:r>
      <w:proofErr w:type="gramStart"/>
      <w:r w:rsidRPr="0011790C">
        <w:t>neighborhoods;</w:t>
      </w:r>
      <w:proofErr w:type="gramEnd"/>
    </w:p>
    <w:p w14:paraId="2D2EDF9C" w14:textId="35F168F6" w:rsidR="0011790C" w:rsidRDefault="0011790C" w:rsidP="0011790C">
      <w:pPr>
        <w:pStyle w:val="a2"/>
      </w:pPr>
      <w:r w:rsidRPr="0011790C">
        <w:t>Provide flexibility for families as their needs change over time and</w:t>
      </w:r>
      <w:proofErr w:type="gramStart"/>
      <w:r w:rsidRPr="0011790C">
        <w:t>, in particular, provide</w:t>
      </w:r>
      <w:proofErr w:type="gramEnd"/>
      <w:r w:rsidRPr="0011790C">
        <w:t xml:space="preserve"> options for seniors to be able to stay in their homes and for households with disabled persons; and</w:t>
      </w:r>
    </w:p>
    <w:p w14:paraId="09546C54" w14:textId="407E47B4" w:rsidR="0011790C" w:rsidRPr="0011790C" w:rsidRDefault="0011790C" w:rsidP="0011790C">
      <w:pPr>
        <w:pStyle w:val="a2"/>
      </w:pPr>
      <w:r w:rsidRPr="0011790C">
        <w:t>Preserve historic buildings, particularly historic carriage houses and barns.</w:t>
      </w:r>
    </w:p>
    <w:p w14:paraId="6F21AF8B" w14:textId="2D3D9A61" w:rsidR="00610FDF" w:rsidRDefault="0011790C" w:rsidP="00610FDF">
      <w:pPr>
        <w:pStyle w:val="A3"/>
        <w:rPr>
          <w:color w:val="000000" w:themeColor="text1"/>
        </w:rPr>
      </w:pPr>
      <w:bookmarkStart w:id="0" w:name="_Hlk527244075"/>
      <w:r>
        <w:t>Accessory Apartment Defined.</w:t>
      </w:r>
      <w:r>
        <w:rPr>
          <w:color w:val="000000" w:themeColor="text1"/>
        </w:rPr>
        <w:t xml:space="preserve"> </w:t>
      </w:r>
      <w:r w:rsidRPr="0011790C">
        <w:rPr>
          <w:color w:val="000000" w:themeColor="text1"/>
        </w:rPr>
        <w:t>A separate dwelling unit located in a Single-Family, Detached or a Two-Family, Detached building or in a detached building located on the same lot as a Single-Family, Detached or a Two-Family, Detached building, as an accessory and subordinate use to the primary residential use of the property, provided that such separate dwelling unit has been established pursuant to the provisions of this Sec. 6.7.1.</w:t>
      </w:r>
    </w:p>
    <w:p w14:paraId="2F58560D" w14:textId="22205B0F" w:rsidR="0011790C" w:rsidRDefault="0011790C" w:rsidP="0011790C">
      <w:pPr>
        <w:pStyle w:val="a2"/>
        <w:numPr>
          <w:ilvl w:val="0"/>
          <w:numId w:val="120"/>
        </w:numPr>
        <w:rPr>
          <w:color w:val="000000" w:themeColor="text1"/>
        </w:rPr>
      </w:pPr>
      <w:r w:rsidRPr="0011790C">
        <w:rPr>
          <w:color w:val="233F8F"/>
        </w:rPr>
        <w:t>In</w:t>
      </w:r>
      <w:r>
        <w:rPr>
          <w:color w:val="233F8F"/>
        </w:rPr>
        <w:t>ternal</w:t>
      </w:r>
      <w:r w:rsidRPr="0011790C">
        <w:rPr>
          <w:color w:val="233F8F"/>
        </w:rPr>
        <w:t>.</w:t>
      </w:r>
      <w:r>
        <w:rPr>
          <w:color w:val="000000" w:themeColor="text1"/>
        </w:rPr>
        <w:t xml:space="preserve"> </w:t>
      </w:r>
      <w:r w:rsidRPr="0011790C">
        <w:rPr>
          <w:color w:val="000000" w:themeColor="text1"/>
        </w:rPr>
        <w:t>An accessory apartment located within a single- or two-family dwelling.</w:t>
      </w:r>
    </w:p>
    <w:p w14:paraId="4E521C26" w14:textId="414C77CD" w:rsidR="0011790C" w:rsidRPr="0011790C" w:rsidRDefault="0011790C" w:rsidP="0011790C">
      <w:pPr>
        <w:pStyle w:val="a2"/>
      </w:pPr>
      <w:r w:rsidRPr="0011790C">
        <w:rPr>
          <w:color w:val="233F8F"/>
        </w:rPr>
        <w:t xml:space="preserve">Detached. </w:t>
      </w:r>
      <w:r w:rsidRPr="0011790C">
        <w:t xml:space="preserve">An accessory apartment not located within a dwelling unit but </w:t>
      </w:r>
      <w:proofErr w:type="gramStart"/>
      <w:r w:rsidRPr="0011790C">
        <w:t>is located in</w:t>
      </w:r>
      <w:proofErr w:type="gramEnd"/>
      <w:r w:rsidRPr="0011790C">
        <w:t xml:space="preserve"> a separate detached accessory building.</w:t>
      </w:r>
    </w:p>
    <w:p w14:paraId="2DAD36EE" w14:textId="2BA0BDD2" w:rsidR="004E0C20" w:rsidRPr="00D45FB8" w:rsidRDefault="0011790C" w:rsidP="006204E6">
      <w:pPr>
        <w:pStyle w:val="A3"/>
        <w:ind w:right="-72"/>
      </w:pPr>
      <w:bookmarkStart w:id="1" w:name="_Hlk526867298"/>
      <w:r>
        <w:t>Rules for All Accessory Apartments</w:t>
      </w:r>
    </w:p>
    <w:bookmarkEnd w:id="0"/>
    <w:bookmarkEnd w:id="1"/>
    <w:p w14:paraId="310C641F" w14:textId="570F3A19" w:rsidR="00AA4CA4" w:rsidRDefault="00D74A24" w:rsidP="00D74A24">
      <w:pPr>
        <w:pStyle w:val="a2"/>
        <w:numPr>
          <w:ilvl w:val="0"/>
          <w:numId w:val="121"/>
        </w:numPr>
      </w:pPr>
      <w:r w:rsidRPr="00D74A24">
        <w:t xml:space="preserve">No accessory apartment shall be held in separate ownership from the principal structure/ dwelling unit; </w:t>
      </w:r>
      <w:r w:rsidR="00BD2028" w:rsidRPr="005D757F">
        <w:t xml:space="preserve">To </w:t>
      </w:r>
      <w:r w:rsidR="00AA4CA4">
        <w:t>permit redevelopment of existing office buildings into new office buildings.</w:t>
      </w:r>
    </w:p>
    <w:p w14:paraId="53DFD0E7" w14:textId="19A08EAD" w:rsidR="00BD2028" w:rsidRDefault="00D74A24" w:rsidP="00F576B5">
      <w:pPr>
        <w:pStyle w:val="a2"/>
      </w:pPr>
      <w:r w:rsidRPr="00D74A24">
        <w:t xml:space="preserve">No more than 1 accessory apartment shall be allowed per </w:t>
      </w:r>
      <w:proofErr w:type="gramStart"/>
      <w:r w:rsidRPr="00D74A24">
        <w:t>lot;</w:t>
      </w:r>
      <w:proofErr w:type="gramEnd"/>
    </w:p>
    <w:p w14:paraId="3F8E539F" w14:textId="43EA646B" w:rsidR="00D74A24" w:rsidRDefault="00D74A24" w:rsidP="00D74A24">
      <w:pPr>
        <w:pStyle w:val="a2"/>
      </w:pPr>
      <w:r w:rsidRPr="00D74A24">
        <w:t xml:space="preserve">The property owner </w:t>
      </w:r>
      <w:r w:rsidR="00D612E7">
        <w:t xml:space="preserve">or an indirect property owner </w:t>
      </w:r>
      <w:r w:rsidRPr="00D74A24">
        <w:t>must occupy either the principal dwelling unit or the accessory apartment</w:t>
      </w:r>
      <w:r w:rsidR="00D612E7">
        <w:t xml:space="preserve">. </w:t>
      </w:r>
      <w:r w:rsidR="00D612E7" w:rsidRPr="00D612E7">
        <w:t xml:space="preserve">Indirect ownership includes but is not limited to a beneficiary of a trust holding record title to the property and a majority owner of the voting stock of a corporation or the membership units of a limited liability company holding record title to the </w:t>
      </w:r>
      <w:proofErr w:type="gramStart"/>
      <w:r w:rsidR="00D612E7" w:rsidRPr="00D612E7">
        <w:t>property;</w:t>
      </w:r>
      <w:proofErr w:type="gramEnd"/>
    </w:p>
    <w:p w14:paraId="4B20C93F" w14:textId="76D1F077" w:rsidR="00D74A24" w:rsidRDefault="00D74A24" w:rsidP="00D74A24">
      <w:pPr>
        <w:pStyle w:val="a2"/>
      </w:pPr>
      <w:r w:rsidRPr="00D74A24">
        <w:t xml:space="preserve">The total combined number of individuals residing in the principal and accessory dwelling units may not exceed the number allowed in the principal dwelling unit alone, under Sec. 3.4.2 and other applicable </w:t>
      </w:r>
      <w:proofErr w:type="gramStart"/>
      <w:r w:rsidRPr="00D74A24">
        <w:t>sections;</w:t>
      </w:r>
      <w:proofErr w:type="gramEnd"/>
    </w:p>
    <w:p w14:paraId="3D2FB841" w14:textId="105985C9" w:rsidR="00D74A24" w:rsidRDefault="00D74A24" w:rsidP="00D74A24">
      <w:pPr>
        <w:pStyle w:val="a2"/>
      </w:pPr>
      <w:r w:rsidRPr="00D74A24">
        <w:t xml:space="preserve">Where the accessory apartment or the principal dwelling is occupied as a rental unit, the minimum occupancy or rental term shall be 30 </w:t>
      </w:r>
      <w:proofErr w:type="gramStart"/>
      <w:r w:rsidRPr="00D74A24">
        <w:t>days;</w:t>
      </w:r>
      <w:proofErr w:type="gramEnd"/>
    </w:p>
    <w:p w14:paraId="556E333B" w14:textId="7A32535D" w:rsidR="00D74A24" w:rsidRDefault="00D74A24" w:rsidP="00D74A24">
      <w:pPr>
        <w:pStyle w:val="a2"/>
      </w:pPr>
      <w:r w:rsidRPr="00D74A24">
        <w:t xml:space="preserve">No additional parking is required for the accessory apartment. If parking for the accessory apartment is added, however, screening is required sufficient to </w:t>
      </w:r>
      <w:r w:rsidRPr="00D74A24">
        <w:lastRenderedPageBreak/>
        <w:t xml:space="preserve">minimize the visual impact on abutters, such as evergreen or dense deciduous plantings, walls, fences, or a </w:t>
      </w:r>
      <w:proofErr w:type="gramStart"/>
      <w:r w:rsidRPr="00D74A24">
        <w:t>combination;</w:t>
      </w:r>
      <w:proofErr w:type="gramEnd"/>
    </w:p>
    <w:p w14:paraId="77B51CAE" w14:textId="2448531D" w:rsidR="00D74A24" w:rsidRDefault="00D74A24" w:rsidP="00D74A24">
      <w:pPr>
        <w:pStyle w:val="a2"/>
      </w:pPr>
      <w:r w:rsidRPr="00D74A24">
        <w:t>Before a Certificate of Occupancy is issued the property owner of any accessory apartment shall record with the Registry of Deeds for the Southern District of Middlesex County, or with the land court, a certified copy of the decision or of the determination from the Commissioner of Inspectional Services granting the accessory apartment and certified copies shall be filed with the Department of Inspectional Services, where a master list of accessory apartments shall be kept, and with the Assessing Department;</w:t>
      </w:r>
    </w:p>
    <w:p w14:paraId="05A93FE7" w14:textId="382609BC" w:rsidR="00D74A24" w:rsidRDefault="00D74A24" w:rsidP="00D74A24">
      <w:pPr>
        <w:pStyle w:val="a2"/>
      </w:pPr>
      <w:r w:rsidRPr="00D74A24">
        <w:t xml:space="preserve">When ownership of the property changes, the new property owner shall notify the Commissioner of Inspectional Services within 30 days, at which time the Commissioner of Inspectional Services shall conduct a determination of compliance with this Section 6.7.1 and with 780 </w:t>
      </w:r>
      <w:proofErr w:type="gramStart"/>
      <w:r w:rsidRPr="00D74A24">
        <w:t>CMR;</w:t>
      </w:r>
      <w:proofErr w:type="gramEnd"/>
      <w:r w:rsidRPr="00D74A24">
        <w:t xml:space="preserve"> and</w:t>
      </w:r>
    </w:p>
    <w:p w14:paraId="26504B96" w14:textId="17C1DCF8" w:rsidR="00D74A24" w:rsidRPr="00D74A24" w:rsidRDefault="00D74A24" w:rsidP="00D74A24">
      <w:pPr>
        <w:pStyle w:val="a2"/>
      </w:pPr>
      <w:r w:rsidRPr="00D74A24">
        <w:t>The property owner shall file with the Commissioner of Inspectional Services a sworn certification attesting to continued compliance with the requirements of this Section 6.7.1 and all applicable public safety codes. Such certification shall be filed annually on the first business day of January or upon transfer to a new owner as provided above, and the property may be subject to inspection.</w:t>
      </w:r>
    </w:p>
    <w:p w14:paraId="7279741B" w14:textId="020928DB" w:rsidR="00BD2028" w:rsidRPr="00CA602F" w:rsidRDefault="00D74A24" w:rsidP="00F576B5">
      <w:pPr>
        <w:pStyle w:val="A3"/>
      </w:pPr>
      <w:r>
        <w:t>Rules for Internal Accessory Apartments</w:t>
      </w:r>
    </w:p>
    <w:p w14:paraId="72312C5A" w14:textId="46936802" w:rsidR="00DA60C6" w:rsidRDefault="00D74A24" w:rsidP="001E5438">
      <w:pPr>
        <w:pStyle w:val="a2"/>
        <w:numPr>
          <w:ilvl w:val="0"/>
          <w:numId w:val="24"/>
        </w:numPr>
      </w:pPr>
      <w:r w:rsidRPr="00D74A24">
        <w:t xml:space="preserve">An internal accessory apartment is allowed by right as a use accessory to a Single-Family, Detached building and a Two-Family, Detached building. </w:t>
      </w:r>
      <w:r w:rsidR="00F576B5">
        <w:t>Lab Building</w:t>
      </w:r>
      <w:r w:rsidR="00DA60C6" w:rsidRPr="009E00B2">
        <w:t xml:space="preserve"> </w:t>
      </w:r>
      <w:r w:rsidR="005B0957">
        <w:t>(See Sec.</w:t>
      </w:r>
      <w:r w:rsidR="009660CA">
        <w:t>6.2.10</w:t>
      </w:r>
      <w:r w:rsidR="005B0957">
        <w:t>)</w:t>
      </w:r>
    </w:p>
    <w:p w14:paraId="74CC4360" w14:textId="77777777" w:rsidR="00D74A24" w:rsidRDefault="00D74A24" w:rsidP="00D74A24">
      <w:pPr>
        <w:pStyle w:val="a2"/>
      </w:pPr>
      <w:r w:rsidRPr="00D74A24">
        <w:t>An Internal Accessory Apartment shall be a minimum of 250 square feet and a maximum of 1,000 square feet or 33 percent of the total Habitable Space in the principal dwelling, as defined in Sec. 8.3, whichever is less. The City Council may grant a special permit for a larger Internal Accessory Apartment up to 1,200 square feet or 40% of the total Habitable Space, whichever is less.</w:t>
      </w:r>
    </w:p>
    <w:p w14:paraId="6F32FF64" w14:textId="76444D3F" w:rsidR="00AE5F64" w:rsidRDefault="00AE5F64" w:rsidP="00D74A24">
      <w:pPr>
        <w:pStyle w:val="asection"/>
      </w:pPr>
      <w:r w:rsidRPr="003034AA">
        <w:t xml:space="preserve"> </w:t>
      </w:r>
      <w:r w:rsidR="00D74A24" w:rsidRPr="00D74A24">
        <w:t>The total Habitable Space is the sum of the Habitable Space of the accessory unit and the principal unit with which it is associated.</w:t>
      </w:r>
    </w:p>
    <w:p w14:paraId="355450FD" w14:textId="2A1AB0D6" w:rsidR="00D74A24" w:rsidRDefault="00D74A24" w:rsidP="00D74A24">
      <w:pPr>
        <w:pStyle w:val="a2"/>
      </w:pPr>
      <w:r w:rsidRPr="00D74A24">
        <w:t>Exterior alterations are permitted provided they are in keeping with the architectural integrity of the structure, and the look, character and scale of the surrounding neighborhood as viewed from the street, including, but not limited to, the following considerations:</w:t>
      </w:r>
    </w:p>
    <w:p w14:paraId="5CFECF5E" w14:textId="48F2A660" w:rsidR="00D74A24" w:rsidRDefault="00D74A24" w:rsidP="00D74A24">
      <w:pPr>
        <w:pStyle w:val="asection"/>
        <w:numPr>
          <w:ilvl w:val="0"/>
          <w:numId w:val="122"/>
        </w:numPr>
      </w:pPr>
      <w:r w:rsidRPr="00D74A24">
        <w:t xml:space="preserve">The exterior finish material should be the same or visually consistent in type, size, and placement, as the exterior finish material of the remainder of the </w:t>
      </w:r>
      <w:proofErr w:type="gramStart"/>
      <w:r w:rsidRPr="00D74A24">
        <w:t>building;</w:t>
      </w:r>
      <w:proofErr w:type="gramEnd"/>
    </w:p>
    <w:p w14:paraId="1FE58758" w14:textId="72A9DD72" w:rsidR="00D74A24" w:rsidRDefault="00D74A24" w:rsidP="00D74A24">
      <w:pPr>
        <w:pStyle w:val="asection"/>
      </w:pPr>
      <w:r w:rsidRPr="00D74A24">
        <w:t xml:space="preserve">The roof pitch should be consistent with the predominant roof pitch of the remainder of the </w:t>
      </w:r>
      <w:proofErr w:type="gramStart"/>
      <w:r w:rsidRPr="00D74A24">
        <w:t>building;</w:t>
      </w:r>
      <w:proofErr w:type="gramEnd"/>
    </w:p>
    <w:p w14:paraId="79A16176" w14:textId="1219A49D" w:rsidR="00D74A24" w:rsidRDefault="00D74A24" w:rsidP="00D74A24">
      <w:pPr>
        <w:pStyle w:val="asection"/>
      </w:pPr>
      <w:r w:rsidRPr="00D74A24">
        <w:t xml:space="preserve">Trim should be consistent in type, size, and location as the trim used on the remainder of the </w:t>
      </w:r>
      <w:proofErr w:type="gramStart"/>
      <w:r w:rsidRPr="00D74A24">
        <w:t>building;</w:t>
      </w:r>
      <w:proofErr w:type="gramEnd"/>
    </w:p>
    <w:p w14:paraId="7CCCE177" w14:textId="09A902BA" w:rsidR="00D74A24" w:rsidRDefault="00D74A24" w:rsidP="00D74A24">
      <w:pPr>
        <w:pStyle w:val="asection"/>
      </w:pPr>
      <w:r w:rsidRPr="00D74A24">
        <w:t xml:space="preserve">Windows should be consistent with those of the remainder of the building in proportion and </w:t>
      </w:r>
      <w:proofErr w:type="gramStart"/>
      <w:r w:rsidRPr="00D74A24">
        <w:t>orientation;</w:t>
      </w:r>
      <w:proofErr w:type="gramEnd"/>
    </w:p>
    <w:p w14:paraId="33DA506B" w14:textId="1297BF03" w:rsidR="00D74A24" w:rsidRDefault="00D74A24" w:rsidP="00D74A24">
      <w:pPr>
        <w:pStyle w:val="asection"/>
      </w:pPr>
      <w:r w:rsidRPr="00D74A24">
        <w:t xml:space="preserve">Exterior staircases should be designed to minimize visual intrusion and be complementary to the existing </w:t>
      </w:r>
      <w:proofErr w:type="gramStart"/>
      <w:r w:rsidRPr="00D74A24">
        <w:t>building;</w:t>
      </w:r>
      <w:proofErr w:type="gramEnd"/>
    </w:p>
    <w:p w14:paraId="6287921B" w14:textId="603D059C" w:rsidR="00D74A24" w:rsidRDefault="00D74A24" w:rsidP="00D74A24">
      <w:pPr>
        <w:pStyle w:val="asection"/>
      </w:pPr>
      <w:r w:rsidRPr="00D74A24">
        <w:t xml:space="preserve">The Commissioner of Inspectional Services, or the City Council in the case of a special permit, shall seek advice and counsel from the Director of Planning and Development and/or the Urban Design Commission where there is a question in the application of the above criteria. Where a building is determined to be of historic significance and therefore subject to the procedures required under Section 22-50(C)(4) of the City of Newton </w:t>
      </w:r>
      <w:r w:rsidRPr="00D74A24">
        <w:lastRenderedPageBreak/>
        <w:t>ordinances, or where a building is located within a local historic district and therefore subject to the procedures required under Sections 22-40 through 44 of the City of Newton ordinances, any decisions of the Newton Historical Commission, or the local Historic District Commission, shall take precedence over the criteria and procedures set forth above, but may be guided by them in addition to their own criteria and procedures.</w:t>
      </w:r>
    </w:p>
    <w:p w14:paraId="200D22F7" w14:textId="4C7A2F7D" w:rsidR="00D74A24" w:rsidRPr="00D74A24" w:rsidRDefault="00D74A24" w:rsidP="00D74A24">
      <w:pPr>
        <w:pStyle w:val="a2"/>
      </w:pPr>
      <w:r w:rsidRPr="00D74A24">
        <w:t>Only one entrance may be located on the facade of the building facing a street unless the building had additional street-facing entrances before the accessory apartment was created, except by special permit.</w:t>
      </w:r>
    </w:p>
    <w:p w14:paraId="61067854" w14:textId="44BF649B" w:rsidR="00AE5F64" w:rsidRPr="00FB38EA" w:rsidRDefault="00D74A24" w:rsidP="00AE5F64">
      <w:pPr>
        <w:pStyle w:val="A3"/>
        <w:rPr>
          <w:color w:val="auto"/>
        </w:rPr>
      </w:pPr>
      <w:r>
        <w:t>Rules for Detached Accessory Apartments</w:t>
      </w:r>
      <w:r w:rsidR="00AE5F64">
        <w:t xml:space="preserve">. </w:t>
      </w:r>
    </w:p>
    <w:p w14:paraId="384809DA" w14:textId="69C6CA02" w:rsidR="00AE5F64" w:rsidRPr="00D93BCB" w:rsidRDefault="00D612E7" w:rsidP="00AE5F64">
      <w:pPr>
        <w:pStyle w:val="a2"/>
        <w:numPr>
          <w:ilvl w:val="0"/>
          <w:numId w:val="26"/>
        </w:numPr>
        <w:tabs>
          <w:tab w:val="clear" w:pos="2790"/>
        </w:tabs>
        <w:ind w:left="2250"/>
      </w:pPr>
      <w:r w:rsidRPr="00D612E7">
        <w:rPr>
          <w:u w:val="single"/>
        </w:rPr>
        <w:t>A Detached Accessory Apartment is allowed by right as a use accessory to a Single-Family, Detached building and a Two-Family, Detached building</w:t>
      </w:r>
      <w:r>
        <w:rPr>
          <w:u w:val="single"/>
        </w:rPr>
        <w:t>.</w:t>
      </w:r>
    </w:p>
    <w:p w14:paraId="4753A5C8" w14:textId="6B02DA7B" w:rsidR="00D74A24" w:rsidRDefault="00D74A24" w:rsidP="00AE5F64">
      <w:pPr>
        <w:pStyle w:val="a2"/>
        <w:numPr>
          <w:ilvl w:val="0"/>
          <w:numId w:val="26"/>
        </w:numPr>
        <w:tabs>
          <w:tab w:val="clear" w:pos="2790"/>
        </w:tabs>
        <w:ind w:left="2250"/>
      </w:pPr>
      <w:r w:rsidRPr="00D74A24">
        <w:t xml:space="preserve">A Detached Accessory Apartment shall be a minimum of 250 square feet and a maximum of </w:t>
      </w:r>
      <w:r w:rsidR="00D612E7">
        <w:t>900</w:t>
      </w:r>
      <w:r w:rsidRPr="00D74A24">
        <w:t xml:space="preserve"> square feet or </w:t>
      </w:r>
      <w:r w:rsidR="00D612E7">
        <w:t>50%</w:t>
      </w:r>
      <w:r w:rsidRPr="00D74A24">
        <w:t xml:space="preserve"> of the total Habitable Space of the principal dwelling, whichever is less. The City Council may grant a special permit for a larger Detached Accessory Apartment up to 1,500 square feet. </w:t>
      </w:r>
    </w:p>
    <w:p w14:paraId="3ABD6DA8" w14:textId="102490AA" w:rsidR="00D74A24" w:rsidRPr="00D74A24" w:rsidRDefault="00D74A24" w:rsidP="00D74A24">
      <w:pPr>
        <w:pStyle w:val="asection"/>
        <w:numPr>
          <w:ilvl w:val="0"/>
          <w:numId w:val="124"/>
        </w:numPr>
      </w:pPr>
      <w:r w:rsidRPr="00D74A24">
        <w:t>The total Habitable Space is the sum of the Habitable Space of the accessory unit and the principal unit with which it is associated</w:t>
      </w:r>
      <w:r>
        <w:t>.</w:t>
      </w:r>
    </w:p>
    <w:p w14:paraId="0F3007C5" w14:textId="73A38000" w:rsidR="00515989" w:rsidRPr="009E00B2" w:rsidRDefault="00D74A24" w:rsidP="00D74A24">
      <w:pPr>
        <w:pStyle w:val="a2"/>
        <w:numPr>
          <w:ilvl w:val="0"/>
          <w:numId w:val="125"/>
        </w:numPr>
      </w:pPr>
      <w:r w:rsidRPr="00D74A24">
        <w:t xml:space="preserve">Exterior alterations to an existing accessory structure or the creation of a new accessory structure are permitted provided they are in keeping with the architectural integrity of the existing structure and/or the principal dwelling on the lot and the residential character of the neighborhood. The exterior finish material should be the same or visually compatible in type, size, and placement, as the exterior finish material of the principal dwelling unit on the site. The Commissioner of Inspectional Services, or the City Council in the case of a special permit, shall seek advice and counsel from the Director of Planning and Development and/or the Urban Design Commission where there is a question in the application of this requirement. Where a building is determined to be of historic significance and therefore subject to the procedures required under Section 22-50(C) (4) of the City of Newton ordinances, or where a building is located within a local historic district and therefore subject to the procedures required under Sections 22-40 through 44 of the City of Newton ordinances, any decisions of the Newton Historical Commission, or the local Historic District Commission, shall take precedence over the criteria and procedures set forth above, but may be guided by them in addition to their own criteria and procedures. </w:t>
      </w:r>
    </w:p>
    <w:p w14:paraId="5B1470A3" w14:textId="009DE1EC" w:rsidR="00515989" w:rsidRPr="009E00B2" w:rsidRDefault="00D74A24" w:rsidP="00CB4229">
      <w:pPr>
        <w:pStyle w:val="a2"/>
        <w:spacing w:after="80"/>
      </w:pPr>
      <w:r w:rsidRPr="00D74A24">
        <w:t xml:space="preserve">The Detached Accessory Apartment must meet the separation requirements from the </w:t>
      </w:r>
      <w:r>
        <w:t>p</w:t>
      </w:r>
      <w:r w:rsidRPr="00D74A24">
        <w:t xml:space="preserve">rincipal dwelling unit on the subject lot in compliance with Sec. 3.4.3.A.2.b. </w:t>
      </w:r>
    </w:p>
    <w:p w14:paraId="07AAA3A3" w14:textId="67848DDA" w:rsidR="00D612E7" w:rsidRDefault="00D612E7" w:rsidP="00FA0D9E">
      <w:pPr>
        <w:pStyle w:val="a2"/>
      </w:pPr>
      <w:r>
        <w:t xml:space="preserve">A </w:t>
      </w:r>
      <w:r w:rsidR="00D74A24" w:rsidRPr="00D74A24">
        <w:t xml:space="preserve">Detached Accessory Apartment </w:t>
      </w:r>
      <w:r w:rsidRPr="00D612E7">
        <w:t>shall be no nearer to any side or rear lot line than 7.5 feet or half of the distance prescribed for the principal building, whichever is greater, and no nearer to any front lot line tha</w:t>
      </w:r>
      <w:r w:rsidR="001623D7">
        <w:t>n</w:t>
      </w:r>
      <w:r w:rsidRPr="00D612E7">
        <w:t xml:space="preserve"> the distance prescribed for the principal building. Notwithstanding the forgoing sentence, the setbacks for a Detached Accessory Apartment may be reduced by special permit.</w:t>
      </w:r>
    </w:p>
    <w:p w14:paraId="798A9CCC" w14:textId="164145C0" w:rsidR="00515989" w:rsidRDefault="00FA0D9E" w:rsidP="00D74A24">
      <w:pPr>
        <w:pStyle w:val="a2"/>
      </w:pPr>
      <w:r>
        <w:rPr>
          <w:lang w:val="en"/>
        </w:rPr>
        <w:t xml:space="preserve">A Detached Accessory Apartment shall be included in the floor area </w:t>
      </w:r>
      <w:r w:rsidR="001A549E">
        <w:rPr>
          <w:lang w:val="en"/>
        </w:rPr>
        <w:t xml:space="preserve">ratio </w:t>
      </w:r>
      <w:r>
        <w:rPr>
          <w:lang w:val="en"/>
        </w:rPr>
        <w:t xml:space="preserve">calculation for the </w:t>
      </w:r>
      <w:r w:rsidR="001A549E">
        <w:rPr>
          <w:lang w:val="en"/>
        </w:rPr>
        <w:t>lot</w:t>
      </w:r>
      <w:r w:rsidR="00D612E7" w:rsidRPr="00D612E7">
        <w:rPr>
          <w:lang w:val="en"/>
        </w:rPr>
        <w:t xml:space="preserve">. </w:t>
      </w:r>
    </w:p>
    <w:p w14:paraId="3229691A" w14:textId="75DF1674" w:rsidR="00D74A24" w:rsidRDefault="00D74A24" w:rsidP="00D74A24">
      <w:pPr>
        <w:pStyle w:val="a2"/>
      </w:pPr>
      <w:r w:rsidRPr="00D74A24">
        <w:t>Except as required above, a Detached Accessory Apartment is subject to the dimensional requirements of Section 3.4.3, Accessory Buildings. For the purposes of this section, the Commissioner of ISD may determine which lot line is the front on corner lots.</w:t>
      </w:r>
    </w:p>
    <w:p w14:paraId="0A6D5063" w14:textId="28525DFF" w:rsidR="00D74A24" w:rsidRDefault="00D74A24" w:rsidP="00D74A24">
      <w:pPr>
        <w:pStyle w:val="a2"/>
      </w:pPr>
      <w:r w:rsidRPr="00D74A24">
        <w:t xml:space="preserve">Historic Carriage Houses and Other Historic Accessory Buildings. Under the following conditions, a Detached Accessory Apartment in an historic accessory </w:t>
      </w:r>
      <w:r w:rsidRPr="00D74A24">
        <w:lastRenderedPageBreak/>
        <w:t>building located outside of an historic district, may be allowed by right without requiring a special permit, and only subject to the rules in this subsection E.7.</w:t>
      </w:r>
    </w:p>
    <w:p w14:paraId="7AECC099" w14:textId="7A0A039D" w:rsidR="00D74A24" w:rsidRDefault="00D74A24" w:rsidP="00D74A24">
      <w:pPr>
        <w:pStyle w:val="asection"/>
        <w:numPr>
          <w:ilvl w:val="0"/>
          <w:numId w:val="126"/>
        </w:numPr>
      </w:pPr>
      <w:r w:rsidRPr="00D74A24">
        <w:t xml:space="preserve">The proposed Detached Accessory Apartment will </w:t>
      </w:r>
      <w:proofErr w:type="gramStart"/>
      <w:r w:rsidRPr="00D74A24">
        <w:t>be located in</w:t>
      </w:r>
      <w:proofErr w:type="gramEnd"/>
      <w:r w:rsidRPr="00D74A24">
        <w:t xml:space="preserve"> a historic carriage house building or other historic accessory building such as an auto house, garage, stable, machine shop, or barn. To qualify under this subsection E.7, the structure must qualify and be deemed as “historically significant” under Section 22-50 of the City of Newton Ordinances, The Demolition Review Ordinance, as determined by the Director of Planning and Development and the Chair of the Newton Historical </w:t>
      </w:r>
      <w:proofErr w:type="gramStart"/>
      <w:r w:rsidRPr="00D74A24">
        <w:t>Commission;</w:t>
      </w:r>
      <w:proofErr w:type="gramEnd"/>
    </w:p>
    <w:p w14:paraId="6D398A74" w14:textId="596FA66C" w:rsidR="00D74A24" w:rsidRDefault="00D74A24" w:rsidP="00D74A24">
      <w:pPr>
        <w:pStyle w:val="asection"/>
      </w:pPr>
      <w:r w:rsidRPr="00D74A24">
        <w:t>The proposed Detached Accessory Apartment will be greater than 15 feet from an existing residential dwelling on an abutting property, except by special permit; and</w:t>
      </w:r>
    </w:p>
    <w:p w14:paraId="37D250D5" w14:textId="14D0F49C" w:rsidR="00D74A24" w:rsidRPr="00D74A24" w:rsidRDefault="00D74A24" w:rsidP="00D74A24">
      <w:pPr>
        <w:pStyle w:val="asection"/>
      </w:pPr>
      <w:r w:rsidRPr="00D74A24">
        <w:t>Any exterior alteration of the building to permit the creation of the Detached Accessory Apartment will preserve the historic character and integrity of the building. Exterior alterations shall be subject to the jurisdiction of the Newton Historical Commission.</w:t>
      </w:r>
    </w:p>
    <w:p w14:paraId="7834A5FF" w14:textId="1162F14D" w:rsidR="00515989" w:rsidRPr="009E00B2" w:rsidRDefault="00D74A24" w:rsidP="00F576B5">
      <w:pPr>
        <w:pStyle w:val="A3"/>
      </w:pPr>
      <w:r>
        <w:t xml:space="preserve">Invalidity Clause. </w:t>
      </w:r>
      <w:r w:rsidRPr="00D74A24">
        <w:rPr>
          <w:color w:val="auto"/>
        </w:rPr>
        <w:t>If it shall be determined by a court of competent jurisdiction that any provision or requirement of Sec. 6.7.1 is invalid as applied for any reason, then Sec. 6.7.1 shall be declared null and void in its entirety.</w:t>
      </w:r>
    </w:p>
    <w:sectPr w:rsidR="00515989" w:rsidRPr="009E00B2" w:rsidSect="00D74A24">
      <w:headerReference w:type="default" r:id="rId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10C33" w14:textId="77777777" w:rsidR="00220725" w:rsidRDefault="00220725" w:rsidP="002B1AD5">
      <w:pPr>
        <w:spacing w:after="0" w:line="240" w:lineRule="auto"/>
      </w:pPr>
      <w:r>
        <w:separator/>
      </w:r>
    </w:p>
  </w:endnote>
  <w:endnote w:type="continuationSeparator" w:id="0">
    <w:p w14:paraId="4D04121A" w14:textId="77777777" w:rsidR="00220725" w:rsidRDefault="00220725" w:rsidP="002B1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altName w:val="Arial"/>
    <w:panose1 w:val="020B0504020202020204"/>
    <w:charset w:val="00"/>
    <w:family w:val="swiss"/>
    <w:notTrueType/>
    <w:pitch w:val="variable"/>
    <w:sig w:usb0="00000203" w:usb1="00000000" w:usb2="00000000" w:usb3="00000000" w:csb0="00000005" w:csb1="00000000"/>
  </w:font>
  <w:font w:name="Helvetica LT Std Light">
    <w:altName w:val="Arial"/>
    <w:panose1 w:val="020B0403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E79F7" w14:textId="77777777" w:rsidR="00220725" w:rsidRDefault="00220725" w:rsidP="002B1AD5">
      <w:pPr>
        <w:spacing w:after="0" w:line="240" w:lineRule="auto"/>
      </w:pPr>
      <w:r>
        <w:separator/>
      </w:r>
    </w:p>
  </w:footnote>
  <w:footnote w:type="continuationSeparator" w:id="0">
    <w:p w14:paraId="2AC148BD" w14:textId="77777777" w:rsidR="00220725" w:rsidRDefault="00220725" w:rsidP="002B1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7FE6" w14:textId="462F0CBF" w:rsidR="00D74A24" w:rsidRDefault="00D612E7">
    <w:pPr>
      <w:pStyle w:val="Header"/>
    </w:pPr>
    <w:r>
      <w:t>Redline Zoning Text – ADU Ordinance</w:t>
    </w:r>
  </w:p>
  <w:p w14:paraId="4268DD44" w14:textId="346E3B4C" w:rsidR="00D612E7" w:rsidRPr="00D612E7" w:rsidRDefault="00D612E7">
    <w:pPr>
      <w:pStyle w:val="Header"/>
      <w:rPr>
        <w:b/>
        <w:bCs/>
      </w:rPr>
    </w:pPr>
    <w:r>
      <w:rPr>
        <w:b/>
        <w:bCs/>
      </w:rPr>
      <w:t xml:space="preserve">Docket # 192-22: </w:t>
    </w:r>
    <w:r w:rsidRPr="00D612E7">
      <w:rPr>
        <w:b/>
        <w:bCs/>
      </w:rPr>
      <w:t>Request for review and amendments to Section 6.7.1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81D"/>
    <w:multiLevelType w:val="multilevel"/>
    <w:tmpl w:val="A05439EA"/>
    <w:lvl w:ilvl="0">
      <w:start w:val="1"/>
      <w:numFmt w:val="decimal"/>
      <w:lvlText w:val="%1."/>
      <w:lvlJc w:val="left"/>
      <w:pPr>
        <w:ind w:left="360" w:hanging="360"/>
      </w:pPr>
    </w:lvl>
    <w:lvl w:ilvl="1">
      <w:start w:val="1"/>
      <w:numFmt w:val="decimal"/>
      <w:pStyle w:val="a"/>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0"/>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71D67F"/>
    <w:multiLevelType w:val="hybridMultilevel"/>
    <w:tmpl w:val="14FCDF45"/>
    <w:lvl w:ilvl="0" w:tplc="FFFFFFFF">
      <w:start w:val="1"/>
      <w:numFmt w:val="ideographDigital"/>
      <w:pStyle w:val="Text-body-firstphraseblue"/>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0B5983"/>
    <w:multiLevelType w:val="hybridMultilevel"/>
    <w:tmpl w:val="5A446D22"/>
    <w:lvl w:ilvl="0" w:tplc="33FE06BA">
      <w:start w:val="1"/>
      <w:numFmt w:val="lowerRoman"/>
      <w:pStyle w:val="i-subsubsection"/>
      <w:lvlText w:val="%1."/>
      <w:lvlJc w:val="right"/>
      <w:pPr>
        <w:ind w:left="417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4896" w:hanging="360"/>
      </w:pPr>
    </w:lvl>
    <w:lvl w:ilvl="2" w:tplc="0409001B" w:tentative="1">
      <w:start w:val="1"/>
      <w:numFmt w:val="lowerRoman"/>
      <w:lvlText w:val="%3."/>
      <w:lvlJc w:val="right"/>
      <w:pPr>
        <w:ind w:left="5616" w:hanging="180"/>
      </w:pPr>
    </w:lvl>
    <w:lvl w:ilvl="3" w:tplc="0409000F" w:tentative="1">
      <w:start w:val="1"/>
      <w:numFmt w:val="decimal"/>
      <w:lvlText w:val="%4."/>
      <w:lvlJc w:val="left"/>
      <w:pPr>
        <w:ind w:left="6336" w:hanging="360"/>
      </w:pPr>
    </w:lvl>
    <w:lvl w:ilvl="4" w:tplc="04090019" w:tentative="1">
      <w:start w:val="1"/>
      <w:numFmt w:val="lowerLetter"/>
      <w:lvlText w:val="%5."/>
      <w:lvlJc w:val="left"/>
      <w:pPr>
        <w:ind w:left="7056" w:hanging="360"/>
      </w:pPr>
    </w:lvl>
    <w:lvl w:ilvl="5" w:tplc="0409001B" w:tentative="1">
      <w:start w:val="1"/>
      <w:numFmt w:val="lowerRoman"/>
      <w:lvlText w:val="%6."/>
      <w:lvlJc w:val="right"/>
      <w:pPr>
        <w:ind w:left="7776" w:hanging="180"/>
      </w:pPr>
    </w:lvl>
    <w:lvl w:ilvl="6" w:tplc="0409000F" w:tentative="1">
      <w:start w:val="1"/>
      <w:numFmt w:val="decimal"/>
      <w:lvlText w:val="%7."/>
      <w:lvlJc w:val="left"/>
      <w:pPr>
        <w:ind w:left="8496" w:hanging="360"/>
      </w:pPr>
    </w:lvl>
    <w:lvl w:ilvl="7" w:tplc="04090019" w:tentative="1">
      <w:start w:val="1"/>
      <w:numFmt w:val="lowerLetter"/>
      <w:lvlText w:val="%8."/>
      <w:lvlJc w:val="left"/>
      <w:pPr>
        <w:ind w:left="9216" w:hanging="360"/>
      </w:pPr>
    </w:lvl>
    <w:lvl w:ilvl="8" w:tplc="0409001B" w:tentative="1">
      <w:start w:val="1"/>
      <w:numFmt w:val="lowerRoman"/>
      <w:lvlText w:val="%9."/>
      <w:lvlJc w:val="right"/>
      <w:pPr>
        <w:ind w:left="9936" w:hanging="180"/>
      </w:pPr>
    </w:lvl>
  </w:abstractNum>
  <w:abstractNum w:abstractNumId="3" w15:restartNumberingAfterBreak="0">
    <w:nsid w:val="1AB00D3A"/>
    <w:multiLevelType w:val="hybridMultilevel"/>
    <w:tmpl w:val="A0986952"/>
    <w:lvl w:ilvl="0" w:tplc="EF8436D4">
      <w:start w:val="1"/>
      <w:numFmt w:val="decimal"/>
      <w:lvlText w:val="%1."/>
      <w:lvlJc w:val="left"/>
      <w:pPr>
        <w:ind w:left="2736" w:hanging="360"/>
      </w:pPr>
      <w:rPr>
        <w:color w:val="auto"/>
      </w:rPr>
    </w:lvl>
    <w:lvl w:ilvl="1" w:tplc="04090019">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4" w15:restartNumberingAfterBreak="0">
    <w:nsid w:val="31331C9C"/>
    <w:multiLevelType w:val="hybridMultilevel"/>
    <w:tmpl w:val="ACF47B9E"/>
    <w:lvl w:ilvl="0" w:tplc="BDBED640">
      <w:start w:val="1"/>
      <w:numFmt w:val="upperLetter"/>
      <w:lvlText w:val="%1."/>
      <w:lvlJc w:val="left"/>
      <w:pPr>
        <w:ind w:left="29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2DD6A57"/>
    <w:multiLevelType w:val="hybridMultilevel"/>
    <w:tmpl w:val="C338C8DE"/>
    <w:lvl w:ilvl="0" w:tplc="2DB836DC">
      <w:start w:val="1"/>
      <w:numFmt w:val="lowerLetter"/>
      <w:pStyle w:val="a1"/>
      <w:lvlText w:val="%1."/>
      <w:lvlJc w:val="left"/>
      <w:pPr>
        <w:ind w:left="2606" w:hanging="360"/>
      </w:pPr>
    </w:lvl>
    <w:lvl w:ilvl="1" w:tplc="04090019" w:tentative="1">
      <w:start w:val="1"/>
      <w:numFmt w:val="lowerLetter"/>
      <w:lvlText w:val="%2."/>
      <w:lvlJc w:val="left"/>
      <w:pPr>
        <w:ind w:left="3326" w:hanging="360"/>
      </w:pPr>
    </w:lvl>
    <w:lvl w:ilvl="2" w:tplc="0409001B" w:tentative="1">
      <w:start w:val="1"/>
      <w:numFmt w:val="lowerRoman"/>
      <w:lvlText w:val="%3."/>
      <w:lvlJc w:val="right"/>
      <w:pPr>
        <w:ind w:left="4046" w:hanging="180"/>
      </w:pPr>
    </w:lvl>
    <w:lvl w:ilvl="3" w:tplc="0409000F" w:tentative="1">
      <w:start w:val="1"/>
      <w:numFmt w:val="decimal"/>
      <w:lvlText w:val="%4."/>
      <w:lvlJc w:val="left"/>
      <w:pPr>
        <w:ind w:left="4766" w:hanging="360"/>
      </w:pPr>
    </w:lvl>
    <w:lvl w:ilvl="4" w:tplc="04090019" w:tentative="1">
      <w:start w:val="1"/>
      <w:numFmt w:val="lowerLetter"/>
      <w:lvlText w:val="%5."/>
      <w:lvlJc w:val="left"/>
      <w:pPr>
        <w:ind w:left="5486" w:hanging="360"/>
      </w:pPr>
    </w:lvl>
    <w:lvl w:ilvl="5" w:tplc="0409001B" w:tentative="1">
      <w:start w:val="1"/>
      <w:numFmt w:val="lowerRoman"/>
      <w:lvlText w:val="%6."/>
      <w:lvlJc w:val="right"/>
      <w:pPr>
        <w:ind w:left="6206" w:hanging="180"/>
      </w:pPr>
    </w:lvl>
    <w:lvl w:ilvl="6" w:tplc="0409000F" w:tentative="1">
      <w:start w:val="1"/>
      <w:numFmt w:val="decimal"/>
      <w:lvlText w:val="%7."/>
      <w:lvlJc w:val="left"/>
      <w:pPr>
        <w:ind w:left="6926" w:hanging="360"/>
      </w:pPr>
    </w:lvl>
    <w:lvl w:ilvl="7" w:tplc="04090019" w:tentative="1">
      <w:start w:val="1"/>
      <w:numFmt w:val="lowerLetter"/>
      <w:lvlText w:val="%8."/>
      <w:lvlJc w:val="left"/>
      <w:pPr>
        <w:ind w:left="7646" w:hanging="360"/>
      </w:pPr>
    </w:lvl>
    <w:lvl w:ilvl="8" w:tplc="0409001B" w:tentative="1">
      <w:start w:val="1"/>
      <w:numFmt w:val="lowerRoman"/>
      <w:lvlText w:val="%9."/>
      <w:lvlJc w:val="right"/>
      <w:pPr>
        <w:ind w:left="8366" w:hanging="180"/>
      </w:pPr>
    </w:lvl>
  </w:abstractNum>
  <w:abstractNum w:abstractNumId="6" w15:restartNumberingAfterBreak="0">
    <w:nsid w:val="4B1C3E3D"/>
    <w:multiLevelType w:val="hybridMultilevel"/>
    <w:tmpl w:val="E2FA37E0"/>
    <w:lvl w:ilvl="0" w:tplc="E7F2B7DC">
      <w:start w:val="1"/>
      <w:numFmt w:val="lowerLetter"/>
      <w:pStyle w:val="asection"/>
      <w:lvlText w:val="%1."/>
      <w:lvlJc w:val="left"/>
      <w:pPr>
        <w:ind w:left="30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7" w15:restartNumberingAfterBreak="0">
    <w:nsid w:val="51AE428E"/>
    <w:multiLevelType w:val="hybridMultilevel"/>
    <w:tmpl w:val="3566EF4C"/>
    <w:lvl w:ilvl="0" w:tplc="CEC6219A">
      <w:start w:val="1"/>
      <w:numFmt w:val="decimal"/>
      <w:lvlText w:val="%1."/>
      <w:lvlJc w:val="left"/>
      <w:pPr>
        <w:ind w:left="2736" w:hanging="360"/>
      </w:pPr>
      <w:rPr>
        <w:color w:val="auto"/>
      </w:rPr>
    </w:lvl>
    <w:lvl w:ilvl="1" w:tplc="04090019">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8" w15:restartNumberingAfterBreak="0">
    <w:nsid w:val="66076995"/>
    <w:multiLevelType w:val="hybridMultilevel"/>
    <w:tmpl w:val="EC947E62"/>
    <w:lvl w:ilvl="0" w:tplc="1F72DB5C">
      <w:start w:val="1"/>
      <w:numFmt w:val="decimal"/>
      <w:pStyle w:val="a2"/>
      <w:lvlText w:val="%1."/>
      <w:lvlJc w:val="left"/>
      <w:pPr>
        <w:ind w:left="225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94" w:hanging="360"/>
      </w:pPr>
    </w:lvl>
    <w:lvl w:ilvl="2" w:tplc="0409001B">
      <w:start w:val="1"/>
      <w:numFmt w:val="lowerRoman"/>
      <w:lvlText w:val="%3."/>
      <w:lvlJc w:val="right"/>
      <w:pPr>
        <w:ind w:left="-1174" w:hanging="180"/>
      </w:pPr>
    </w:lvl>
    <w:lvl w:ilvl="3" w:tplc="0409000F" w:tentative="1">
      <w:start w:val="1"/>
      <w:numFmt w:val="decimal"/>
      <w:lvlText w:val="%4."/>
      <w:lvlJc w:val="left"/>
      <w:pPr>
        <w:ind w:left="-454" w:hanging="360"/>
      </w:pPr>
    </w:lvl>
    <w:lvl w:ilvl="4" w:tplc="04090019" w:tentative="1">
      <w:start w:val="1"/>
      <w:numFmt w:val="lowerLetter"/>
      <w:lvlText w:val="%5."/>
      <w:lvlJc w:val="left"/>
      <w:pPr>
        <w:ind w:left="266" w:hanging="360"/>
      </w:pPr>
    </w:lvl>
    <w:lvl w:ilvl="5" w:tplc="0409001B" w:tentative="1">
      <w:start w:val="1"/>
      <w:numFmt w:val="lowerRoman"/>
      <w:lvlText w:val="%6."/>
      <w:lvlJc w:val="right"/>
      <w:pPr>
        <w:ind w:left="986" w:hanging="180"/>
      </w:pPr>
    </w:lvl>
    <w:lvl w:ilvl="6" w:tplc="0409000F" w:tentative="1">
      <w:start w:val="1"/>
      <w:numFmt w:val="decimal"/>
      <w:lvlText w:val="%7."/>
      <w:lvlJc w:val="left"/>
      <w:pPr>
        <w:ind w:left="1706" w:hanging="360"/>
      </w:pPr>
    </w:lvl>
    <w:lvl w:ilvl="7" w:tplc="04090019" w:tentative="1">
      <w:start w:val="1"/>
      <w:numFmt w:val="lowerLetter"/>
      <w:lvlText w:val="%8."/>
      <w:lvlJc w:val="left"/>
      <w:pPr>
        <w:ind w:left="2426" w:hanging="360"/>
      </w:pPr>
    </w:lvl>
    <w:lvl w:ilvl="8" w:tplc="0409001B" w:tentative="1">
      <w:start w:val="1"/>
      <w:numFmt w:val="lowerRoman"/>
      <w:lvlText w:val="%9."/>
      <w:lvlJc w:val="right"/>
      <w:pPr>
        <w:ind w:left="3146" w:hanging="180"/>
      </w:pPr>
    </w:lvl>
  </w:abstractNum>
  <w:abstractNum w:abstractNumId="9" w15:restartNumberingAfterBreak="0">
    <w:nsid w:val="68695596"/>
    <w:multiLevelType w:val="hybridMultilevel"/>
    <w:tmpl w:val="FF70366E"/>
    <w:lvl w:ilvl="0" w:tplc="04090001">
      <w:start w:val="1"/>
      <w:numFmt w:val="bullet"/>
      <w:lvlText w:val=""/>
      <w:lvlJc w:val="left"/>
      <w:pPr>
        <w:ind w:left="1375" w:hanging="360"/>
      </w:pPr>
      <w:rPr>
        <w:rFonts w:ascii="Symbol" w:hAnsi="Symbol" w:hint="default"/>
      </w:rPr>
    </w:lvl>
    <w:lvl w:ilvl="1" w:tplc="04090003" w:tentative="1">
      <w:start w:val="1"/>
      <w:numFmt w:val="bullet"/>
      <w:lvlText w:val="o"/>
      <w:lvlJc w:val="left"/>
      <w:pPr>
        <w:ind w:left="2095" w:hanging="360"/>
      </w:pPr>
      <w:rPr>
        <w:rFonts w:ascii="Courier New" w:hAnsi="Courier New" w:cs="Courier New" w:hint="default"/>
      </w:rPr>
    </w:lvl>
    <w:lvl w:ilvl="2" w:tplc="04090005" w:tentative="1">
      <w:start w:val="1"/>
      <w:numFmt w:val="bullet"/>
      <w:lvlText w:val=""/>
      <w:lvlJc w:val="left"/>
      <w:pPr>
        <w:ind w:left="2815" w:hanging="360"/>
      </w:pPr>
      <w:rPr>
        <w:rFonts w:ascii="Wingdings" w:hAnsi="Wingdings" w:hint="default"/>
      </w:rPr>
    </w:lvl>
    <w:lvl w:ilvl="3" w:tplc="04090001" w:tentative="1">
      <w:start w:val="1"/>
      <w:numFmt w:val="bullet"/>
      <w:lvlText w:val=""/>
      <w:lvlJc w:val="left"/>
      <w:pPr>
        <w:ind w:left="3535" w:hanging="360"/>
      </w:pPr>
      <w:rPr>
        <w:rFonts w:ascii="Symbol" w:hAnsi="Symbol" w:hint="default"/>
      </w:rPr>
    </w:lvl>
    <w:lvl w:ilvl="4" w:tplc="04090003" w:tentative="1">
      <w:start w:val="1"/>
      <w:numFmt w:val="bullet"/>
      <w:lvlText w:val="o"/>
      <w:lvlJc w:val="left"/>
      <w:pPr>
        <w:ind w:left="4255" w:hanging="360"/>
      </w:pPr>
      <w:rPr>
        <w:rFonts w:ascii="Courier New" w:hAnsi="Courier New" w:cs="Courier New" w:hint="default"/>
      </w:rPr>
    </w:lvl>
    <w:lvl w:ilvl="5" w:tplc="04090005" w:tentative="1">
      <w:start w:val="1"/>
      <w:numFmt w:val="bullet"/>
      <w:lvlText w:val=""/>
      <w:lvlJc w:val="left"/>
      <w:pPr>
        <w:ind w:left="4975" w:hanging="360"/>
      </w:pPr>
      <w:rPr>
        <w:rFonts w:ascii="Wingdings" w:hAnsi="Wingdings" w:hint="default"/>
      </w:rPr>
    </w:lvl>
    <w:lvl w:ilvl="6" w:tplc="04090001" w:tentative="1">
      <w:start w:val="1"/>
      <w:numFmt w:val="bullet"/>
      <w:lvlText w:val=""/>
      <w:lvlJc w:val="left"/>
      <w:pPr>
        <w:ind w:left="5695" w:hanging="360"/>
      </w:pPr>
      <w:rPr>
        <w:rFonts w:ascii="Symbol" w:hAnsi="Symbol" w:hint="default"/>
      </w:rPr>
    </w:lvl>
    <w:lvl w:ilvl="7" w:tplc="04090003" w:tentative="1">
      <w:start w:val="1"/>
      <w:numFmt w:val="bullet"/>
      <w:lvlText w:val="o"/>
      <w:lvlJc w:val="left"/>
      <w:pPr>
        <w:ind w:left="6415" w:hanging="360"/>
      </w:pPr>
      <w:rPr>
        <w:rFonts w:ascii="Courier New" w:hAnsi="Courier New" w:cs="Courier New" w:hint="default"/>
      </w:rPr>
    </w:lvl>
    <w:lvl w:ilvl="8" w:tplc="04090005" w:tentative="1">
      <w:start w:val="1"/>
      <w:numFmt w:val="bullet"/>
      <w:lvlText w:val=""/>
      <w:lvlJc w:val="left"/>
      <w:pPr>
        <w:ind w:left="7135" w:hanging="360"/>
      </w:pPr>
      <w:rPr>
        <w:rFonts w:ascii="Wingdings" w:hAnsi="Wingdings" w:hint="default"/>
      </w:rPr>
    </w:lvl>
  </w:abstractNum>
  <w:abstractNum w:abstractNumId="10" w15:restartNumberingAfterBreak="0">
    <w:nsid w:val="6A2A10CD"/>
    <w:multiLevelType w:val="hybridMultilevel"/>
    <w:tmpl w:val="A0986952"/>
    <w:lvl w:ilvl="0" w:tplc="EF8436D4">
      <w:start w:val="1"/>
      <w:numFmt w:val="decimal"/>
      <w:lvlText w:val="%1."/>
      <w:lvlJc w:val="left"/>
      <w:pPr>
        <w:ind w:left="2736" w:hanging="360"/>
      </w:pPr>
      <w:rPr>
        <w:color w:val="auto"/>
      </w:rPr>
    </w:lvl>
    <w:lvl w:ilvl="1" w:tplc="04090019">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1" w15:restartNumberingAfterBreak="0">
    <w:nsid w:val="6E3C4503"/>
    <w:multiLevelType w:val="hybridMultilevel"/>
    <w:tmpl w:val="67106FC0"/>
    <w:lvl w:ilvl="0" w:tplc="7256F14E">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705C580E"/>
    <w:multiLevelType w:val="hybridMultilevel"/>
    <w:tmpl w:val="B0B8F292"/>
    <w:lvl w:ilvl="0" w:tplc="4CF6E660">
      <w:start w:val="1"/>
      <w:numFmt w:val="upperLetter"/>
      <w:pStyle w:val="A3"/>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2"/>
  </w:num>
  <w:num w:numId="2">
    <w:abstractNumId w:val="0"/>
  </w:num>
  <w:num w:numId="3">
    <w:abstractNumId w:val="12"/>
    <w:lvlOverride w:ilvl="0">
      <w:startOverride w:val="1"/>
    </w:lvlOverride>
  </w:num>
  <w:num w:numId="4">
    <w:abstractNumId w:val="12"/>
    <w:lvlOverride w:ilvl="0">
      <w:startOverride w:val="1"/>
    </w:lvlOverride>
  </w:num>
  <w:num w:numId="5">
    <w:abstractNumId w:val="12"/>
    <w:lvlOverride w:ilvl="0">
      <w:startOverride w:val="1"/>
    </w:lvlOverride>
  </w:num>
  <w:num w:numId="6">
    <w:abstractNumId w:val="12"/>
    <w:lvlOverride w:ilvl="0">
      <w:startOverride w:val="1"/>
    </w:lvlOverride>
  </w:num>
  <w:num w:numId="7">
    <w:abstractNumId w:val="6"/>
  </w:num>
  <w:num w:numId="8">
    <w:abstractNumId w:val="6"/>
    <w:lvlOverride w:ilvl="0">
      <w:startOverride w:val="1"/>
    </w:lvlOverride>
  </w:num>
  <w:num w:numId="9">
    <w:abstractNumId w:val="2"/>
  </w:num>
  <w:num w:numId="10">
    <w:abstractNumId w:val="8"/>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12"/>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12"/>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12"/>
    <w:lvlOverride w:ilvl="0">
      <w:startOverride w:val="1"/>
    </w:lvlOverride>
  </w:num>
  <w:num w:numId="23">
    <w:abstractNumId w:val="4"/>
  </w:num>
  <w:num w:numId="24">
    <w:abstractNumId w:val="8"/>
    <w:lvlOverride w:ilvl="0">
      <w:startOverride w:val="1"/>
    </w:lvlOverride>
  </w:num>
  <w:num w:numId="25">
    <w:abstractNumId w:val="8"/>
    <w:lvlOverride w:ilvl="0">
      <w:startOverride w:val="1"/>
    </w:lvlOverride>
  </w:num>
  <w:num w:numId="26">
    <w:abstractNumId w:val="3"/>
  </w:num>
  <w:num w:numId="27">
    <w:abstractNumId w:val="4"/>
    <w:lvlOverride w:ilvl="0">
      <w:startOverride w:val="1"/>
    </w:lvlOverride>
  </w:num>
  <w:num w:numId="28">
    <w:abstractNumId w:val="3"/>
    <w:lvlOverride w:ilvl="0">
      <w:startOverride w:val="1"/>
    </w:lvlOverride>
  </w:num>
  <w:num w:numId="29">
    <w:abstractNumId w:val="11"/>
  </w:num>
  <w:num w:numId="30">
    <w:abstractNumId w:val="11"/>
    <w:lvlOverride w:ilvl="0">
      <w:startOverride w:val="1"/>
    </w:lvlOverride>
  </w:num>
  <w:num w:numId="31">
    <w:abstractNumId w:val="12"/>
    <w:lvlOverride w:ilvl="0">
      <w:startOverride w:val="1"/>
    </w:lvlOverride>
  </w:num>
  <w:num w:numId="32">
    <w:abstractNumId w:val="7"/>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8"/>
    <w:lvlOverride w:ilvl="0">
      <w:startOverride w:val="1"/>
    </w:lvlOverride>
  </w:num>
  <w:num w:numId="37">
    <w:abstractNumId w:val="12"/>
    <w:lvlOverride w:ilvl="0">
      <w:startOverride w:val="1"/>
    </w:lvlOverride>
  </w:num>
  <w:num w:numId="38">
    <w:abstractNumId w:val="8"/>
    <w:lvlOverride w:ilvl="0">
      <w:startOverride w:val="1"/>
    </w:lvlOverride>
  </w:num>
  <w:num w:numId="39">
    <w:abstractNumId w:val="12"/>
    <w:lvlOverride w:ilvl="0">
      <w:startOverride w:val="1"/>
    </w:lvlOverride>
  </w:num>
  <w:num w:numId="40">
    <w:abstractNumId w:val="12"/>
    <w:lvlOverride w:ilvl="0">
      <w:startOverride w:val="1"/>
    </w:lvlOverride>
  </w:num>
  <w:num w:numId="41">
    <w:abstractNumId w:val="8"/>
    <w:lvlOverride w:ilvl="0">
      <w:startOverride w:val="1"/>
    </w:lvlOverride>
  </w:num>
  <w:num w:numId="42">
    <w:abstractNumId w:val="8"/>
    <w:lvlOverride w:ilvl="0">
      <w:startOverride w:val="1"/>
    </w:lvlOverride>
  </w:num>
  <w:num w:numId="43">
    <w:abstractNumId w:val="6"/>
    <w:lvlOverride w:ilvl="0">
      <w:startOverride w:val="1"/>
    </w:lvlOverride>
  </w:num>
  <w:num w:numId="44">
    <w:abstractNumId w:val="6"/>
    <w:lvlOverride w:ilvl="0">
      <w:startOverride w:val="1"/>
    </w:lvlOverride>
  </w:num>
  <w:num w:numId="45">
    <w:abstractNumId w:val="12"/>
    <w:lvlOverride w:ilvl="0">
      <w:startOverride w:val="1"/>
    </w:lvlOverride>
  </w:num>
  <w:num w:numId="46">
    <w:abstractNumId w:val="8"/>
    <w:lvlOverride w:ilvl="0">
      <w:startOverride w:val="1"/>
    </w:lvlOverride>
  </w:num>
  <w:num w:numId="47">
    <w:abstractNumId w:val="5"/>
    <w:lvlOverride w:ilvl="0">
      <w:startOverride w:val="1"/>
    </w:lvlOverride>
  </w:num>
  <w:num w:numId="48">
    <w:abstractNumId w:val="5"/>
  </w:num>
  <w:num w:numId="49">
    <w:abstractNumId w:val="5"/>
    <w:lvlOverride w:ilvl="0">
      <w:startOverride w:val="1"/>
    </w:lvlOverride>
  </w:num>
  <w:num w:numId="50">
    <w:abstractNumId w:val="2"/>
    <w:lvlOverride w:ilvl="0">
      <w:startOverride w:val="1"/>
    </w:lvlOverride>
  </w:num>
  <w:num w:numId="51">
    <w:abstractNumId w:val="8"/>
    <w:lvlOverride w:ilvl="0">
      <w:startOverride w:val="1"/>
    </w:lvlOverride>
  </w:num>
  <w:num w:numId="52">
    <w:abstractNumId w:val="8"/>
    <w:lvlOverride w:ilvl="0">
      <w:startOverride w:val="1"/>
    </w:lvlOverride>
  </w:num>
  <w:num w:numId="53">
    <w:abstractNumId w:val="12"/>
    <w:lvlOverride w:ilvl="0">
      <w:startOverride w:val="1"/>
    </w:lvlOverride>
  </w:num>
  <w:num w:numId="54">
    <w:abstractNumId w:val="8"/>
    <w:lvlOverride w:ilvl="0">
      <w:startOverride w:val="1"/>
    </w:lvlOverride>
  </w:num>
  <w:num w:numId="55">
    <w:abstractNumId w:val="12"/>
    <w:lvlOverride w:ilvl="0">
      <w:startOverride w:val="1"/>
    </w:lvlOverride>
  </w:num>
  <w:num w:numId="56">
    <w:abstractNumId w:val="8"/>
    <w:lvlOverride w:ilvl="0">
      <w:startOverride w:val="1"/>
    </w:lvlOverride>
  </w:num>
  <w:num w:numId="57">
    <w:abstractNumId w:val="6"/>
    <w:lvlOverride w:ilvl="0">
      <w:startOverride w:val="1"/>
    </w:lvlOverride>
  </w:num>
  <w:num w:numId="58">
    <w:abstractNumId w:val="6"/>
    <w:lvlOverride w:ilvl="0">
      <w:startOverride w:val="1"/>
    </w:lvlOverride>
  </w:num>
  <w:num w:numId="59">
    <w:abstractNumId w:val="8"/>
    <w:lvlOverride w:ilvl="0">
      <w:startOverride w:val="1"/>
    </w:lvlOverride>
  </w:num>
  <w:num w:numId="60">
    <w:abstractNumId w:val="6"/>
    <w:lvlOverride w:ilvl="0">
      <w:startOverride w:val="1"/>
    </w:lvlOverride>
  </w:num>
  <w:num w:numId="61">
    <w:abstractNumId w:val="12"/>
    <w:lvlOverride w:ilvl="0">
      <w:startOverride w:val="1"/>
    </w:lvlOverride>
  </w:num>
  <w:num w:numId="62">
    <w:abstractNumId w:val="8"/>
    <w:lvlOverride w:ilvl="0">
      <w:startOverride w:val="1"/>
    </w:lvlOverride>
  </w:num>
  <w:num w:numId="63">
    <w:abstractNumId w:val="8"/>
    <w:lvlOverride w:ilvl="0">
      <w:startOverride w:val="1"/>
    </w:lvlOverride>
  </w:num>
  <w:num w:numId="64">
    <w:abstractNumId w:val="8"/>
    <w:lvlOverride w:ilvl="0">
      <w:startOverride w:val="1"/>
    </w:lvlOverride>
  </w:num>
  <w:num w:numId="65">
    <w:abstractNumId w:val="12"/>
    <w:lvlOverride w:ilvl="0">
      <w:startOverride w:val="1"/>
    </w:lvlOverride>
  </w:num>
  <w:num w:numId="66">
    <w:abstractNumId w:val="6"/>
    <w:lvlOverride w:ilvl="0">
      <w:startOverride w:val="1"/>
    </w:lvlOverride>
  </w:num>
  <w:num w:numId="67">
    <w:abstractNumId w:val="8"/>
    <w:lvlOverride w:ilvl="0">
      <w:startOverride w:val="1"/>
    </w:lvlOverride>
  </w:num>
  <w:num w:numId="68">
    <w:abstractNumId w:val="12"/>
    <w:lvlOverride w:ilvl="0">
      <w:startOverride w:val="1"/>
    </w:lvlOverride>
  </w:num>
  <w:num w:numId="69">
    <w:abstractNumId w:val="8"/>
    <w:lvlOverride w:ilvl="0">
      <w:startOverride w:val="1"/>
    </w:lvlOverride>
  </w:num>
  <w:num w:numId="70">
    <w:abstractNumId w:val="8"/>
    <w:lvlOverride w:ilvl="0">
      <w:startOverride w:val="1"/>
    </w:lvlOverride>
  </w:num>
  <w:num w:numId="71">
    <w:abstractNumId w:val="8"/>
    <w:lvlOverride w:ilvl="0">
      <w:startOverride w:val="1"/>
    </w:lvlOverride>
  </w:num>
  <w:num w:numId="72">
    <w:abstractNumId w:val="12"/>
    <w:lvlOverride w:ilvl="0">
      <w:startOverride w:val="1"/>
    </w:lvlOverride>
  </w:num>
  <w:num w:numId="73">
    <w:abstractNumId w:val="8"/>
    <w:lvlOverride w:ilvl="0">
      <w:startOverride w:val="1"/>
    </w:lvlOverride>
  </w:num>
  <w:num w:numId="74">
    <w:abstractNumId w:val="8"/>
    <w:lvlOverride w:ilvl="0">
      <w:startOverride w:val="1"/>
    </w:lvlOverride>
  </w:num>
  <w:num w:numId="75">
    <w:abstractNumId w:val="9"/>
  </w:num>
  <w:num w:numId="76">
    <w:abstractNumId w:val="12"/>
    <w:lvlOverride w:ilvl="0">
      <w:startOverride w:val="1"/>
    </w:lvlOverride>
  </w:num>
  <w:num w:numId="77">
    <w:abstractNumId w:val="8"/>
    <w:lvlOverride w:ilvl="0">
      <w:startOverride w:val="1"/>
    </w:lvlOverride>
  </w:num>
  <w:num w:numId="78">
    <w:abstractNumId w:val="12"/>
    <w:lvlOverride w:ilvl="0">
      <w:startOverride w:val="1"/>
    </w:lvlOverride>
  </w:num>
  <w:num w:numId="79">
    <w:abstractNumId w:val="8"/>
    <w:lvlOverride w:ilvl="0">
      <w:startOverride w:val="1"/>
    </w:lvlOverride>
  </w:num>
  <w:num w:numId="80">
    <w:abstractNumId w:val="6"/>
    <w:lvlOverride w:ilvl="0">
      <w:startOverride w:val="1"/>
    </w:lvlOverride>
  </w:num>
  <w:num w:numId="81">
    <w:abstractNumId w:val="6"/>
    <w:lvlOverride w:ilvl="0">
      <w:startOverride w:val="1"/>
    </w:lvlOverride>
  </w:num>
  <w:num w:numId="82">
    <w:abstractNumId w:val="6"/>
    <w:lvlOverride w:ilvl="0">
      <w:startOverride w:val="1"/>
    </w:lvlOverride>
  </w:num>
  <w:num w:numId="83">
    <w:abstractNumId w:val="2"/>
    <w:lvlOverride w:ilvl="0">
      <w:startOverride w:val="1"/>
    </w:lvlOverride>
  </w:num>
  <w:num w:numId="84">
    <w:abstractNumId w:val="12"/>
    <w:lvlOverride w:ilvl="0">
      <w:startOverride w:val="1"/>
    </w:lvlOverride>
  </w:num>
  <w:num w:numId="85">
    <w:abstractNumId w:val="8"/>
    <w:lvlOverride w:ilvl="0">
      <w:startOverride w:val="1"/>
    </w:lvlOverride>
  </w:num>
  <w:num w:numId="86">
    <w:abstractNumId w:val="6"/>
    <w:lvlOverride w:ilvl="0">
      <w:startOverride w:val="1"/>
    </w:lvlOverride>
  </w:num>
  <w:num w:numId="87">
    <w:abstractNumId w:val="12"/>
    <w:lvlOverride w:ilvl="0">
      <w:startOverride w:val="1"/>
    </w:lvlOverride>
  </w:num>
  <w:num w:numId="88">
    <w:abstractNumId w:val="8"/>
    <w:lvlOverride w:ilvl="0">
      <w:startOverride w:val="1"/>
    </w:lvlOverride>
  </w:num>
  <w:num w:numId="89">
    <w:abstractNumId w:val="8"/>
    <w:lvlOverride w:ilvl="0">
      <w:startOverride w:val="1"/>
    </w:lvlOverride>
  </w:num>
  <w:num w:numId="90">
    <w:abstractNumId w:val="6"/>
    <w:lvlOverride w:ilvl="0">
      <w:startOverride w:val="1"/>
    </w:lvlOverride>
  </w:num>
  <w:num w:numId="91">
    <w:abstractNumId w:val="6"/>
    <w:lvlOverride w:ilvl="0">
      <w:startOverride w:val="1"/>
    </w:lvlOverride>
  </w:num>
  <w:num w:numId="92">
    <w:abstractNumId w:val="8"/>
    <w:lvlOverride w:ilvl="0">
      <w:startOverride w:val="1"/>
    </w:lvlOverride>
  </w:num>
  <w:num w:numId="93">
    <w:abstractNumId w:val="1"/>
  </w:num>
  <w:num w:numId="94">
    <w:abstractNumId w:val="12"/>
    <w:lvlOverride w:ilvl="0">
      <w:startOverride w:val="1"/>
    </w:lvlOverride>
  </w:num>
  <w:num w:numId="95">
    <w:abstractNumId w:val="8"/>
    <w:lvlOverride w:ilvl="0">
      <w:startOverride w:val="1"/>
    </w:lvlOverride>
  </w:num>
  <w:num w:numId="96">
    <w:abstractNumId w:val="8"/>
    <w:lvlOverride w:ilvl="0">
      <w:startOverride w:val="1"/>
    </w:lvlOverride>
  </w:num>
  <w:num w:numId="97">
    <w:abstractNumId w:val="8"/>
    <w:lvlOverride w:ilvl="0">
      <w:startOverride w:val="1"/>
    </w:lvlOverride>
  </w:num>
  <w:num w:numId="98">
    <w:abstractNumId w:val="6"/>
    <w:lvlOverride w:ilvl="0">
      <w:startOverride w:val="1"/>
    </w:lvlOverride>
  </w:num>
  <w:num w:numId="99">
    <w:abstractNumId w:val="2"/>
    <w:lvlOverride w:ilvl="0">
      <w:startOverride w:val="1"/>
    </w:lvlOverride>
  </w:num>
  <w:num w:numId="100">
    <w:abstractNumId w:val="8"/>
    <w:lvlOverride w:ilvl="0">
      <w:startOverride w:val="1"/>
    </w:lvlOverride>
  </w:num>
  <w:num w:numId="101">
    <w:abstractNumId w:val="10"/>
  </w:num>
  <w:num w:numId="102">
    <w:abstractNumId w:val="8"/>
    <w:lvlOverride w:ilvl="0">
      <w:startOverride w:val="1"/>
    </w:lvlOverride>
  </w:num>
  <w:num w:numId="103">
    <w:abstractNumId w:val="8"/>
    <w:lvlOverride w:ilvl="0">
      <w:startOverride w:val="1"/>
    </w:lvlOverride>
  </w:num>
  <w:num w:numId="104">
    <w:abstractNumId w:val="8"/>
    <w:lvlOverride w:ilvl="0">
      <w:startOverride w:val="1"/>
    </w:lvlOverride>
  </w:num>
  <w:num w:numId="105">
    <w:abstractNumId w:val="8"/>
    <w:lvlOverride w:ilvl="0">
      <w:startOverride w:val="1"/>
    </w:lvlOverride>
  </w:num>
  <w:num w:numId="106">
    <w:abstractNumId w:val="8"/>
    <w:lvlOverride w:ilvl="0">
      <w:startOverride w:val="1"/>
    </w:lvlOverride>
  </w:num>
  <w:num w:numId="107">
    <w:abstractNumId w:val="8"/>
    <w:lvlOverride w:ilvl="0">
      <w:startOverride w:val="1"/>
    </w:lvlOverride>
  </w:num>
  <w:num w:numId="108">
    <w:abstractNumId w:val="12"/>
    <w:lvlOverride w:ilvl="0">
      <w:startOverride w:val="1"/>
    </w:lvlOverride>
  </w:num>
  <w:num w:numId="109">
    <w:abstractNumId w:val="8"/>
    <w:lvlOverride w:ilvl="0">
      <w:startOverride w:val="1"/>
    </w:lvlOverride>
  </w:num>
  <w:num w:numId="110">
    <w:abstractNumId w:val="8"/>
    <w:lvlOverride w:ilvl="0">
      <w:startOverride w:val="1"/>
    </w:lvlOverride>
  </w:num>
  <w:num w:numId="111">
    <w:abstractNumId w:val="8"/>
    <w:lvlOverride w:ilvl="0">
      <w:startOverride w:val="1"/>
    </w:lvlOverride>
  </w:num>
  <w:num w:numId="112">
    <w:abstractNumId w:val="6"/>
    <w:lvlOverride w:ilvl="0">
      <w:startOverride w:val="1"/>
    </w:lvlOverride>
  </w:num>
  <w:num w:numId="113">
    <w:abstractNumId w:val="8"/>
    <w:lvlOverride w:ilvl="0">
      <w:startOverride w:val="1"/>
    </w:lvlOverride>
  </w:num>
  <w:num w:numId="114">
    <w:abstractNumId w:val="6"/>
    <w:lvlOverride w:ilvl="0">
      <w:startOverride w:val="1"/>
    </w:lvlOverride>
  </w:num>
  <w:num w:numId="115">
    <w:abstractNumId w:val="2"/>
    <w:lvlOverride w:ilvl="0">
      <w:startOverride w:val="1"/>
    </w:lvlOverride>
  </w:num>
  <w:num w:numId="116">
    <w:abstractNumId w:val="8"/>
    <w:lvlOverride w:ilvl="0">
      <w:startOverride w:val="1"/>
    </w:lvlOverride>
  </w:num>
  <w:num w:numId="117">
    <w:abstractNumId w:val="6"/>
    <w:lvlOverride w:ilvl="0">
      <w:startOverride w:val="1"/>
    </w:lvlOverride>
  </w:num>
  <w:num w:numId="118">
    <w:abstractNumId w:val="6"/>
    <w:lvlOverride w:ilvl="0">
      <w:startOverride w:val="1"/>
    </w:lvlOverride>
  </w:num>
  <w:num w:numId="119">
    <w:abstractNumId w:val="8"/>
    <w:lvlOverride w:ilvl="0">
      <w:startOverride w:val="1"/>
    </w:lvlOverride>
  </w:num>
  <w:num w:numId="120">
    <w:abstractNumId w:val="8"/>
    <w:lvlOverride w:ilvl="0">
      <w:startOverride w:val="1"/>
    </w:lvlOverride>
  </w:num>
  <w:num w:numId="121">
    <w:abstractNumId w:val="8"/>
    <w:lvlOverride w:ilvl="0">
      <w:startOverride w:val="1"/>
    </w:lvlOverride>
  </w:num>
  <w:num w:numId="122">
    <w:abstractNumId w:val="6"/>
    <w:lvlOverride w:ilvl="0">
      <w:startOverride w:val="1"/>
    </w:lvlOverride>
  </w:num>
  <w:num w:numId="123">
    <w:abstractNumId w:val="6"/>
    <w:lvlOverride w:ilvl="0">
      <w:startOverride w:val="1"/>
    </w:lvlOverride>
  </w:num>
  <w:num w:numId="124">
    <w:abstractNumId w:val="6"/>
    <w:lvlOverride w:ilvl="0">
      <w:startOverride w:val="1"/>
    </w:lvlOverride>
  </w:num>
  <w:num w:numId="125">
    <w:abstractNumId w:val="8"/>
    <w:lvlOverride w:ilvl="0">
      <w:startOverride w:val="3"/>
    </w:lvlOverride>
  </w:num>
  <w:num w:numId="126">
    <w:abstractNumId w:val="6"/>
    <w:lvlOverride w:ilvl="0">
      <w:startOverride w:val="1"/>
    </w:lvlOverride>
  </w:num>
  <w:num w:numId="127">
    <w:abstractNumId w:val="6"/>
    <w:lvlOverride w:ilvl="0">
      <w:startOverride w:val="1"/>
    </w:lvlOverride>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6E3"/>
    <w:rsid w:val="00015633"/>
    <w:rsid w:val="00016D2F"/>
    <w:rsid w:val="00021907"/>
    <w:rsid w:val="00021D31"/>
    <w:rsid w:val="00023C2B"/>
    <w:rsid w:val="000261DF"/>
    <w:rsid w:val="00032569"/>
    <w:rsid w:val="00044C7E"/>
    <w:rsid w:val="00073213"/>
    <w:rsid w:val="000818C0"/>
    <w:rsid w:val="00087F64"/>
    <w:rsid w:val="00091D29"/>
    <w:rsid w:val="00093227"/>
    <w:rsid w:val="000A3C4E"/>
    <w:rsid w:val="000A55AE"/>
    <w:rsid w:val="000B07F2"/>
    <w:rsid w:val="000B3712"/>
    <w:rsid w:val="000B544D"/>
    <w:rsid w:val="000D670F"/>
    <w:rsid w:val="000E19C3"/>
    <w:rsid w:val="00102881"/>
    <w:rsid w:val="00104D2F"/>
    <w:rsid w:val="00110E63"/>
    <w:rsid w:val="00112690"/>
    <w:rsid w:val="0011790C"/>
    <w:rsid w:val="0012479D"/>
    <w:rsid w:val="0012535E"/>
    <w:rsid w:val="001260B9"/>
    <w:rsid w:val="00130FBC"/>
    <w:rsid w:val="001338AF"/>
    <w:rsid w:val="00136A3A"/>
    <w:rsid w:val="00151DE2"/>
    <w:rsid w:val="001532E1"/>
    <w:rsid w:val="001623D7"/>
    <w:rsid w:val="00162AED"/>
    <w:rsid w:val="001631B6"/>
    <w:rsid w:val="001700F5"/>
    <w:rsid w:val="00183DAE"/>
    <w:rsid w:val="00185834"/>
    <w:rsid w:val="00193897"/>
    <w:rsid w:val="001A4908"/>
    <w:rsid w:val="001A4AF3"/>
    <w:rsid w:val="001A549E"/>
    <w:rsid w:val="001A5A2F"/>
    <w:rsid w:val="001A7729"/>
    <w:rsid w:val="001B0367"/>
    <w:rsid w:val="001C449D"/>
    <w:rsid w:val="001D0EB7"/>
    <w:rsid w:val="001E411B"/>
    <w:rsid w:val="001E514E"/>
    <w:rsid w:val="001E5438"/>
    <w:rsid w:val="001F0892"/>
    <w:rsid w:val="0020346C"/>
    <w:rsid w:val="002055F1"/>
    <w:rsid w:val="00207DAF"/>
    <w:rsid w:val="002142D5"/>
    <w:rsid w:val="00215D10"/>
    <w:rsid w:val="00215D13"/>
    <w:rsid w:val="00220725"/>
    <w:rsid w:val="002276ED"/>
    <w:rsid w:val="00232077"/>
    <w:rsid w:val="0024396A"/>
    <w:rsid w:val="00253BDB"/>
    <w:rsid w:val="00260EFC"/>
    <w:rsid w:val="00270E64"/>
    <w:rsid w:val="00274737"/>
    <w:rsid w:val="00276871"/>
    <w:rsid w:val="002812C9"/>
    <w:rsid w:val="00284C36"/>
    <w:rsid w:val="0028650D"/>
    <w:rsid w:val="00287F78"/>
    <w:rsid w:val="00293DD8"/>
    <w:rsid w:val="00295184"/>
    <w:rsid w:val="002A1784"/>
    <w:rsid w:val="002A5731"/>
    <w:rsid w:val="002A7683"/>
    <w:rsid w:val="002B1AD5"/>
    <w:rsid w:val="002B5B14"/>
    <w:rsid w:val="002C708C"/>
    <w:rsid w:val="002D7ABA"/>
    <w:rsid w:val="002E7D42"/>
    <w:rsid w:val="002F4817"/>
    <w:rsid w:val="002F6124"/>
    <w:rsid w:val="003208F2"/>
    <w:rsid w:val="00323B53"/>
    <w:rsid w:val="00332240"/>
    <w:rsid w:val="00345576"/>
    <w:rsid w:val="00363712"/>
    <w:rsid w:val="0037793A"/>
    <w:rsid w:val="0038202A"/>
    <w:rsid w:val="00382400"/>
    <w:rsid w:val="00393B73"/>
    <w:rsid w:val="003A10A0"/>
    <w:rsid w:val="003B09A4"/>
    <w:rsid w:val="003B33ED"/>
    <w:rsid w:val="003C4498"/>
    <w:rsid w:val="003C4AE6"/>
    <w:rsid w:val="003C51A1"/>
    <w:rsid w:val="003D1321"/>
    <w:rsid w:val="003D4B07"/>
    <w:rsid w:val="003E1E59"/>
    <w:rsid w:val="003E40B3"/>
    <w:rsid w:val="003E5B44"/>
    <w:rsid w:val="003F06D7"/>
    <w:rsid w:val="003F1252"/>
    <w:rsid w:val="0040131B"/>
    <w:rsid w:val="00401410"/>
    <w:rsid w:val="00425AA1"/>
    <w:rsid w:val="004442EB"/>
    <w:rsid w:val="00445DCA"/>
    <w:rsid w:val="004464EF"/>
    <w:rsid w:val="00447331"/>
    <w:rsid w:val="00450203"/>
    <w:rsid w:val="0045182A"/>
    <w:rsid w:val="00451B1E"/>
    <w:rsid w:val="00452781"/>
    <w:rsid w:val="00453295"/>
    <w:rsid w:val="004539C4"/>
    <w:rsid w:val="00457391"/>
    <w:rsid w:val="0047391E"/>
    <w:rsid w:val="00485393"/>
    <w:rsid w:val="00493F22"/>
    <w:rsid w:val="00494F08"/>
    <w:rsid w:val="00496CD5"/>
    <w:rsid w:val="00497CD4"/>
    <w:rsid w:val="004A18B8"/>
    <w:rsid w:val="004A1AD7"/>
    <w:rsid w:val="004A63B0"/>
    <w:rsid w:val="004E0C20"/>
    <w:rsid w:val="004F00D6"/>
    <w:rsid w:val="004F6AEC"/>
    <w:rsid w:val="00514604"/>
    <w:rsid w:val="00515989"/>
    <w:rsid w:val="00517780"/>
    <w:rsid w:val="00521453"/>
    <w:rsid w:val="00525016"/>
    <w:rsid w:val="00530092"/>
    <w:rsid w:val="00533F27"/>
    <w:rsid w:val="005351F3"/>
    <w:rsid w:val="00536B82"/>
    <w:rsid w:val="005441C7"/>
    <w:rsid w:val="00550E60"/>
    <w:rsid w:val="005517E5"/>
    <w:rsid w:val="00552E7F"/>
    <w:rsid w:val="00557D46"/>
    <w:rsid w:val="00562204"/>
    <w:rsid w:val="00564224"/>
    <w:rsid w:val="00565368"/>
    <w:rsid w:val="0056652E"/>
    <w:rsid w:val="00567E85"/>
    <w:rsid w:val="00570199"/>
    <w:rsid w:val="005714E9"/>
    <w:rsid w:val="00571E5E"/>
    <w:rsid w:val="0057796A"/>
    <w:rsid w:val="00581222"/>
    <w:rsid w:val="0058602F"/>
    <w:rsid w:val="00593D5E"/>
    <w:rsid w:val="005966E3"/>
    <w:rsid w:val="005A76EB"/>
    <w:rsid w:val="005B004C"/>
    <w:rsid w:val="005B0957"/>
    <w:rsid w:val="005B1601"/>
    <w:rsid w:val="005B35ED"/>
    <w:rsid w:val="005B5C62"/>
    <w:rsid w:val="005B7C5C"/>
    <w:rsid w:val="005D04D6"/>
    <w:rsid w:val="005D157E"/>
    <w:rsid w:val="005D1DC0"/>
    <w:rsid w:val="005D21CB"/>
    <w:rsid w:val="005D757F"/>
    <w:rsid w:val="005E1C1A"/>
    <w:rsid w:val="005E314E"/>
    <w:rsid w:val="005F23FF"/>
    <w:rsid w:val="005F28DB"/>
    <w:rsid w:val="005F41D6"/>
    <w:rsid w:val="0060128E"/>
    <w:rsid w:val="00602A2B"/>
    <w:rsid w:val="00602CEA"/>
    <w:rsid w:val="006105A6"/>
    <w:rsid w:val="00610FDF"/>
    <w:rsid w:val="00611FC7"/>
    <w:rsid w:val="006204E6"/>
    <w:rsid w:val="00622FAC"/>
    <w:rsid w:val="00624813"/>
    <w:rsid w:val="0062489F"/>
    <w:rsid w:val="00631C50"/>
    <w:rsid w:val="00633542"/>
    <w:rsid w:val="00643C7F"/>
    <w:rsid w:val="0064538A"/>
    <w:rsid w:val="00646D9D"/>
    <w:rsid w:val="00647994"/>
    <w:rsid w:val="006557EC"/>
    <w:rsid w:val="00655DCE"/>
    <w:rsid w:val="00660267"/>
    <w:rsid w:val="00662565"/>
    <w:rsid w:val="006632A0"/>
    <w:rsid w:val="0066756D"/>
    <w:rsid w:val="006800FE"/>
    <w:rsid w:val="0068398A"/>
    <w:rsid w:val="00686577"/>
    <w:rsid w:val="006929F1"/>
    <w:rsid w:val="0069374A"/>
    <w:rsid w:val="00697258"/>
    <w:rsid w:val="006A2BD9"/>
    <w:rsid w:val="006A5DE6"/>
    <w:rsid w:val="006B07C7"/>
    <w:rsid w:val="006B2A2C"/>
    <w:rsid w:val="006B342F"/>
    <w:rsid w:val="006D29BF"/>
    <w:rsid w:val="006E2A77"/>
    <w:rsid w:val="006F4D59"/>
    <w:rsid w:val="006F7D0D"/>
    <w:rsid w:val="007005E3"/>
    <w:rsid w:val="0070427E"/>
    <w:rsid w:val="007044D8"/>
    <w:rsid w:val="0071010C"/>
    <w:rsid w:val="00714190"/>
    <w:rsid w:val="00720127"/>
    <w:rsid w:val="00722CE8"/>
    <w:rsid w:val="00724495"/>
    <w:rsid w:val="00725EA3"/>
    <w:rsid w:val="0073560C"/>
    <w:rsid w:val="00746858"/>
    <w:rsid w:val="00750632"/>
    <w:rsid w:val="007537B1"/>
    <w:rsid w:val="00765805"/>
    <w:rsid w:val="00770B2F"/>
    <w:rsid w:val="007714F0"/>
    <w:rsid w:val="00780C99"/>
    <w:rsid w:val="007928BD"/>
    <w:rsid w:val="007A3C14"/>
    <w:rsid w:val="007B7E74"/>
    <w:rsid w:val="007C0D7E"/>
    <w:rsid w:val="007D55BB"/>
    <w:rsid w:val="007D6D2F"/>
    <w:rsid w:val="007E03D5"/>
    <w:rsid w:val="007F021A"/>
    <w:rsid w:val="007F45E7"/>
    <w:rsid w:val="007F573E"/>
    <w:rsid w:val="007F5970"/>
    <w:rsid w:val="00801AF5"/>
    <w:rsid w:val="00805493"/>
    <w:rsid w:val="00806205"/>
    <w:rsid w:val="008201AE"/>
    <w:rsid w:val="00821B48"/>
    <w:rsid w:val="0084202E"/>
    <w:rsid w:val="00842BAA"/>
    <w:rsid w:val="0084330A"/>
    <w:rsid w:val="00844274"/>
    <w:rsid w:val="00844744"/>
    <w:rsid w:val="00852CBF"/>
    <w:rsid w:val="008534B1"/>
    <w:rsid w:val="008710AE"/>
    <w:rsid w:val="0087694F"/>
    <w:rsid w:val="00882AB6"/>
    <w:rsid w:val="0088644A"/>
    <w:rsid w:val="00892171"/>
    <w:rsid w:val="008C4C43"/>
    <w:rsid w:val="008D77F7"/>
    <w:rsid w:val="008E678F"/>
    <w:rsid w:val="00902329"/>
    <w:rsid w:val="009130C9"/>
    <w:rsid w:val="00922071"/>
    <w:rsid w:val="00924878"/>
    <w:rsid w:val="0093004A"/>
    <w:rsid w:val="0094758E"/>
    <w:rsid w:val="00961214"/>
    <w:rsid w:val="009660CA"/>
    <w:rsid w:val="00970B4E"/>
    <w:rsid w:val="00971BCA"/>
    <w:rsid w:val="00977812"/>
    <w:rsid w:val="009852F5"/>
    <w:rsid w:val="00987770"/>
    <w:rsid w:val="0099742F"/>
    <w:rsid w:val="009976D8"/>
    <w:rsid w:val="009A1A44"/>
    <w:rsid w:val="009B08E3"/>
    <w:rsid w:val="009C71CA"/>
    <w:rsid w:val="009D0520"/>
    <w:rsid w:val="009D78D1"/>
    <w:rsid w:val="009E00B2"/>
    <w:rsid w:val="009E7F86"/>
    <w:rsid w:val="009F56B8"/>
    <w:rsid w:val="00A00622"/>
    <w:rsid w:val="00A12AF6"/>
    <w:rsid w:val="00A1373B"/>
    <w:rsid w:val="00A163CF"/>
    <w:rsid w:val="00A26581"/>
    <w:rsid w:val="00A42DB8"/>
    <w:rsid w:val="00A44168"/>
    <w:rsid w:val="00A44C5F"/>
    <w:rsid w:val="00A47AB2"/>
    <w:rsid w:val="00A551B4"/>
    <w:rsid w:val="00A56309"/>
    <w:rsid w:val="00A57A70"/>
    <w:rsid w:val="00A6600C"/>
    <w:rsid w:val="00A67977"/>
    <w:rsid w:val="00A816AE"/>
    <w:rsid w:val="00A8429D"/>
    <w:rsid w:val="00A90A4B"/>
    <w:rsid w:val="00A95C13"/>
    <w:rsid w:val="00AA0D1E"/>
    <w:rsid w:val="00AA3DF3"/>
    <w:rsid w:val="00AA4CA4"/>
    <w:rsid w:val="00AA51BB"/>
    <w:rsid w:val="00AA61A7"/>
    <w:rsid w:val="00AC2F2A"/>
    <w:rsid w:val="00AD02C8"/>
    <w:rsid w:val="00AD3B96"/>
    <w:rsid w:val="00AE4370"/>
    <w:rsid w:val="00AE5F64"/>
    <w:rsid w:val="00AE69EB"/>
    <w:rsid w:val="00AF7FB2"/>
    <w:rsid w:val="00B00E5B"/>
    <w:rsid w:val="00B04FA4"/>
    <w:rsid w:val="00B10694"/>
    <w:rsid w:val="00B1551A"/>
    <w:rsid w:val="00B2269C"/>
    <w:rsid w:val="00B2557E"/>
    <w:rsid w:val="00B34F6B"/>
    <w:rsid w:val="00B35916"/>
    <w:rsid w:val="00B36021"/>
    <w:rsid w:val="00B40DAF"/>
    <w:rsid w:val="00B467E3"/>
    <w:rsid w:val="00B478D8"/>
    <w:rsid w:val="00B54870"/>
    <w:rsid w:val="00B61CF9"/>
    <w:rsid w:val="00B66E10"/>
    <w:rsid w:val="00B87E81"/>
    <w:rsid w:val="00B92C24"/>
    <w:rsid w:val="00BA2044"/>
    <w:rsid w:val="00BB2EF9"/>
    <w:rsid w:val="00BC3480"/>
    <w:rsid w:val="00BC4482"/>
    <w:rsid w:val="00BC4FCC"/>
    <w:rsid w:val="00BC6908"/>
    <w:rsid w:val="00BD01FB"/>
    <w:rsid w:val="00BD2028"/>
    <w:rsid w:val="00BF47DD"/>
    <w:rsid w:val="00BF5D2D"/>
    <w:rsid w:val="00BF7439"/>
    <w:rsid w:val="00C0081E"/>
    <w:rsid w:val="00C02452"/>
    <w:rsid w:val="00C02BE6"/>
    <w:rsid w:val="00C1240F"/>
    <w:rsid w:val="00C16A3A"/>
    <w:rsid w:val="00C27D4E"/>
    <w:rsid w:val="00C33385"/>
    <w:rsid w:val="00C368BD"/>
    <w:rsid w:val="00C41CBD"/>
    <w:rsid w:val="00C5334D"/>
    <w:rsid w:val="00C54DE1"/>
    <w:rsid w:val="00C562D0"/>
    <w:rsid w:val="00C56CC8"/>
    <w:rsid w:val="00C76F72"/>
    <w:rsid w:val="00C77328"/>
    <w:rsid w:val="00C84253"/>
    <w:rsid w:val="00C94520"/>
    <w:rsid w:val="00C953C2"/>
    <w:rsid w:val="00CA1624"/>
    <w:rsid w:val="00CA22F3"/>
    <w:rsid w:val="00CA2605"/>
    <w:rsid w:val="00CA290E"/>
    <w:rsid w:val="00CA602F"/>
    <w:rsid w:val="00CA78BF"/>
    <w:rsid w:val="00CB3E60"/>
    <w:rsid w:val="00CB4229"/>
    <w:rsid w:val="00CC1B6A"/>
    <w:rsid w:val="00CC6176"/>
    <w:rsid w:val="00CD1114"/>
    <w:rsid w:val="00CE6733"/>
    <w:rsid w:val="00CF173C"/>
    <w:rsid w:val="00D03C82"/>
    <w:rsid w:val="00D11898"/>
    <w:rsid w:val="00D20E89"/>
    <w:rsid w:val="00D250C8"/>
    <w:rsid w:val="00D261D4"/>
    <w:rsid w:val="00D316B4"/>
    <w:rsid w:val="00D36C38"/>
    <w:rsid w:val="00D36DE3"/>
    <w:rsid w:val="00D43B3E"/>
    <w:rsid w:val="00D45233"/>
    <w:rsid w:val="00D5317A"/>
    <w:rsid w:val="00D612E7"/>
    <w:rsid w:val="00D62DF2"/>
    <w:rsid w:val="00D65177"/>
    <w:rsid w:val="00D66783"/>
    <w:rsid w:val="00D66D2D"/>
    <w:rsid w:val="00D74A24"/>
    <w:rsid w:val="00D80EEF"/>
    <w:rsid w:val="00D81063"/>
    <w:rsid w:val="00D9166C"/>
    <w:rsid w:val="00D93BCB"/>
    <w:rsid w:val="00D957EB"/>
    <w:rsid w:val="00D96C15"/>
    <w:rsid w:val="00DA540E"/>
    <w:rsid w:val="00DA60C6"/>
    <w:rsid w:val="00DA655E"/>
    <w:rsid w:val="00DA741C"/>
    <w:rsid w:val="00DB18D9"/>
    <w:rsid w:val="00DB1A98"/>
    <w:rsid w:val="00DB2849"/>
    <w:rsid w:val="00DC0503"/>
    <w:rsid w:val="00DC4FE1"/>
    <w:rsid w:val="00DC550F"/>
    <w:rsid w:val="00DD0001"/>
    <w:rsid w:val="00DD383C"/>
    <w:rsid w:val="00DE023C"/>
    <w:rsid w:val="00DE029D"/>
    <w:rsid w:val="00DE224F"/>
    <w:rsid w:val="00DE2622"/>
    <w:rsid w:val="00DE5950"/>
    <w:rsid w:val="00DE765F"/>
    <w:rsid w:val="00E06095"/>
    <w:rsid w:val="00E07ADB"/>
    <w:rsid w:val="00E10751"/>
    <w:rsid w:val="00E1374A"/>
    <w:rsid w:val="00E1460C"/>
    <w:rsid w:val="00E14D5A"/>
    <w:rsid w:val="00E166E4"/>
    <w:rsid w:val="00E215C9"/>
    <w:rsid w:val="00E222BC"/>
    <w:rsid w:val="00E31009"/>
    <w:rsid w:val="00E410FF"/>
    <w:rsid w:val="00E441A3"/>
    <w:rsid w:val="00E5253A"/>
    <w:rsid w:val="00E55F2F"/>
    <w:rsid w:val="00E62820"/>
    <w:rsid w:val="00E708AA"/>
    <w:rsid w:val="00E83674"/>
    <w:rsid w:val="00E9142A"/>
    <w:rsid w:val="00E9371C"/>
    <w:rsid w:val="00EA66CA"/>
    <w:rsid w:val="00EB12FF"/>
    <w:rsid w:val="00EB30E2"/>
    <w:rsid w:val="00EB59AF"/>
    <w:rsid w:val="00EC021E"/>
    <w:rsid w:val="00EC2C50"/>
    <w:rsid w:val="00ED112E"/>
    <w:rsid w:val="00ED370D"/>
    <w:rsid w:val="00ED73B9"/>
    <w:rsid w:val="00EE167A"/>
    <w:rsid w:val="00EE657B"/>
    <w:rsid w:val="00EF159C"/>
    <w:rsid w:val="00EF1FDF"/>
    <w:rsid w:val="00EF7445"/>
    <w:rsid w:val="00EF7FAB"/>
    <w:rsid w:val="00F01DD7"/>
    <w:rsid w:val="00F0238B"/>
    <w:rsid w:val="00F1214D"/>
    <w:rsid w:val="00F23B29"/>
    <w:rsid w:val="00F26918"/>
    <w:rsid w:val="00F36048"/>
    <w:rsid w:val="00F537A8"/>
    <w:rsid w:val="00F56AE7"/>
    <w:rsid w:val="00F576B5"/>
    <w:rsid w:val="00F62994"/>
    <w:rsid w:val="00F666DE"/>
    <w:rsid w:val="00F82E34"/>
    <w:rsid w:val="00F8623F"/>
    <w:rsid w:val="00F90E4A"/>
    <w:rsid w:val="00F953EE"/>
    <w:rsid w:val="00F9683A"/>
    <w:rsid w:val="00FA0D9E"/>
    <w:rsid w:val="00FA6979"/>
    <w:rsid w:val="00FA7291"/>
    <w:rsid w:val="00FA7915"/>
    <w:rsid w:val="00FB38EA"/>
    <w:rsid w:val="00FB55A6"/>
    <w:rsid w:val="00FB5B3A"/>
    <w:rsid w:val="00FB73B2"/>
    <w:rsid w:val="00FC65EC"/>
    <w:rsid w:val="00FD34FE"/>
    <w:rsid w:val="00FD6DE2"/>
    <w:rsid w:val="00FD7A66"/>
    <w:rsid w:val="00FE1DCB"/>
    <w:rsid w:val="00FE6135"/>
    <w:rsid w:val="00FF21E6"/>
    <w:rsid w:val="00FF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ACCA29C"/>
  <w15:chartTrackingRefBased/>
  <w15:docId w15:val="{9AB05220-94D6-419A-9F78-50A74166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7683"/>
    <w:rPr>
      <w:sz w:val="16"/>
      <w:szCs w:val="16"/>
    </w:rPr>
  </w:style>
  <w:style w:type="paragraph" w:styleId="CommentText">
    <w:name w:val="annotation text"/>
    <w:basedOn w:val="Normal"/>
    <w:link w:val="CommentTextChar"/>
    <w:uiPriority w:val="99"/>
    <w:semiHidden/>
    <w:unhideWhenUsed/>
    <w:rsid w:val="002A7683"/>
    <w:pPr>
      <w:spacing w:line="240" w:lineRule="auto"/>
    </w:pPr>
    <w:rPr>
      <w:sz w:val="20"/>
      <w:szCs w:val="20"/>
    </w:rPr>
  </w:style>
  <w:style w:type="character" w:customStyle="1" w:styleId="CommentTextChar">
    <w:name w:val="Comment Text Char"/>
    <w:basedOn w:val="DefaultParagraphFont"/>
    <w:link w:val="CommentText"/>
    <w:uiPriority w:val="99"/>
    <w:semiHidden/>
    <w:rsid w:val="002A7683"/>
    <w:rPr>
      <w:sz w:val="20"/>
      <w:szCs w:val="20"/>
    </w:rPr>
  </w:style>
  <w:style w:type="paragraph" w:styleId="CommentSubject">
    <w:name w:val="annotation subject"/>
    <w:basedOn w:val="CommentText"/>
    <w:next w:val="CommentText"/>
    <w:link w:val="CommentSubjectChar"/>
    <w:uiPriority w:val="99"/>
    <w:semiHidden/>
    <w:unhideWhenUsed/>
    <w:rsid w:val="002A7683"/>
    <w:rPr>
      <w:b/>
      <w:bCs/>
    </w:rPr>
  </w:style>
  <w:style w:type="character" w:customStyle="1" w:styleId="CommentSubjectChar">
    <w:name w:val="Comment Subject Char"/>
    <w:basedOn w:val="CommentTextChar"/>
    <w:link w:val="CommentSubject"/>
    <w:uiPriority w:val="99"/>
    <w:semiHidden/>
    <w:rsid w:val="002A7683"/>
    <w:rPr>
      <w:b/>
      <w:bCs/>
      <w:sz w:val="20"/>
      <w:szCs w:val="20"/>
    </w:rPr>
  </w:style>
  <w:style w:type="paragraph" w:styleId="BalloonText">
    <w:name w:val="Balloon Text"/>
    <w:basedOn w:val="Normal"/>
    <w:link w:val="BalloonTextChar"/>
    <w:uiPriority w:val="99"/>
    <w:semiHidden/>
    <w:unhideWhenUsed/>
    <w:rsid w:val="002A7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683"/>
    <w:rPr>
      <w:rFonts w:ascii="Segoe UI" w:hAnsi="Segoe UI" w:cs="Segoe UI"/>
      <w:sz w:val="18"/>
      <w:szCs w:val="18"/>
    </w:rPr>
  </w:style>
  <w:style w:type="paragraph" w:customStyle="1" w:styleId="Default">
    <w:name w:val="Default"/>
    <w:link w:val="DefaultChar"/>
    <w:rsid w:val="000B07F2"/>
    <w:pPr>
      <w:autoSpaceDE w:val="0"/>
      <w:autoSpaceDN w:val="0"/>
      <w:adjustRightInd w:val="0"/>
      <w:spacing w:after="0" w:line="240" w:lineRule="auto"/>
    </w:pPr>
    <w:rPr>
      <w:rFonts w:ascii="Helvetica LT Std" w:hAnsi="Helvetica LT Std" w:cs="Helvetica LT Std"/>
      <w:color w:val="000000"/>
      <w:sz w:val="24"/>
      <w:szCs w:val="24"/>
    </w:rPr>
  </w:style>
  <w:style w:type="character" w:customStyle="1" w:styleId="A20">
    <w:name w:val="A2"/>
    <w:uiPriority w:val="99"/>
    <w:rsid w:val="000B07F2"/>
    <w:rPr>
      <w:rFonts w:cs="Helvetica LT Std"/>
      <w:color w:val="233F8F"/>
      <w:sz w:val="19"/>
      <w:szCs w:val="19"/>
    </w:rPr>
  </w:style>
  <w:style w:type="paragraph" w:customStyle="1" w:styleId="Pa9">
    <w:name w:val="Pa9"/>
    <w:basedOn w:val="Default"/>
    <w:next w:val="Default"/>
    <w:uiPriority w:val="99"/>
    <w:rsid w:val="00DA60C6"/>
    <w:pPr>
      <w:spacing w:line="191" w:lineRule="atLeast"/>
    </w:pPr>
    <w:rPr>
      <w:rFonts w:ascii="Helvetica LT Std Light" w:hAnsi="Helvetica LT Std Light" w:cstheme="minorBidi"/>
      <w:color w:val="auto"/>
    </w:rPr>
  </w:style>
  <w:style w:type="paragraph" w:styleId="Header">
    <w:name w:val="header"/>
    <w:basedOn w:val="Normal"/>
    <w:link w:val="HeaderChar"/>
    <w:uiPriority w:val="99"/>
    <w:unhideWhenUsed/>
    <w:rsid w:val="002B1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AD5"/>
  </w:style>
  <w:style w:type="paragraph" w:styleId="Footer">
    <w:name w:val="footer"/>
    <w:basedOn w:val="Normal"/>
    <w:link w:val="FooterChar"/>
    <w:uiPriority w:val="99"/>
    <w:unhideWhenUsed/>
    <w:rsid w:val="002B1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AD5"/>
  </w:style>
  <w:style w:type="paragraph" w:styleId="ListParagraph">
    <w:name w:val="List Paragraph"/>
    <w:basedOn w:val="Normal"/>
    <w:uiPriority w:val="34"/>
    <w:qFormat/>
    <w:rsid w:val="002276ED"/>
    <w:pPr>
      <w:ind w:left="720"/>
      <w:contextualSpacing/>
    </w:pPr>
  </w:style>
  <w:style w:type="table" w:styleId="TableGrid">
    <w:name w:val="Table Grid"/>
    <w:basedOn w:val="TableNormal"/>
    <w:uiPriority w:val="39"/>
    <w:rsid w:val="00DC5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ectionHeading">
    <w:name w:val="#.# Section Heading"/>
    <w:basedOn w:val="Default"/>
    <w:link w:val="SectionHeadingChar"/>
    <w:rsid w:val="009976D8"/>
    <w:pPr>
      <w:spacing w:after="213"/>
      <w:ind w:left="720" w:hanging="720"/>
    </w:pPr>
    <w:rPr>
      <w:color w:val="233F8F"/>
      <w:sz w:val="28"/>
      <w:szCs w:val="28"/>
    </w:rPr>
  </w:style>
  <w:style w:type="character" w:customStyle="1" w:styleId="SectionHeadingChar">
    <w:name w:val="#.# Section Heading Char"/>
    <w:basedOn w:val="DefaultParagraphFont"/>
    <w:link w:val="SectionHeading"/>
    <w:rsid w:val="009976D8"/>
    <w:rPr>
      <w:rFonts w:ascii="Helvetica LT Std" w:hAnsi="Helvetica LT Std" w:cs="Helvetica LT Std"/>
      <w:color w:val="233F8F"/>
      <w:sz w:val="28"/>
      <w:szCs w:val="28"/>
    </w:rPr>
  </w:style>
  <w:style w:type="paragraph" w:customStyle="1" w:styleId="Heading">
    <w:name w:val="#.#.# Heading"/>
    <w:basedOn w:val="Default"/>
    <w:link w:val="HeadingChar"/>
    <w:rsid w:val="005D757F"/>
    <w:pPr>
      <w:tabs>
        <w:tab w:val="left" w:pos="288"/>
      </w:tabs>
      <w:spacing w:after="213"/>
      <w:ind w:left="630" w:hanging="270"/>
    </w:pPr>
    <w:rPr>
      <w:color w:val="233F8F"/>
      <w:sz w:val="23"/>
      <w:szCs w:val="23"/>
    </w:rPr>
  </w:style>
  <w:style w:type="character" w:customStyle="1" w:styleId="HeadingChar">
    <w:name w:val="#.#.# Heading Char"/>
    <w:basedOn w:val="DefaultParagraphFont"/>
    <w:link w:val="Heading"/>
    <w:rsid w:val="005D757F"/>
    <w:rPr>
      <w:rFonts w:ascii="Helvetica LT Std" w:hAnsi="Helvetica LT Std" w:cs="Helvetica LT Std"/>
      <w:color w:val="233F8F"/>
      <w:sz w:val="23"/>
      <w:szCs w:val="23"/>
    </w:rPr>
  </w:style>
  <w:style w:type="paragraph" w:customStyle="1" w:styleId="A3">
    <w:name w:val="A. ..."/>
    <w:basedOn w:val="Normal"/>
    <w:link w:val="AChar"/>
    <w:qFormat/>
    <w:rsid w:val="00F576B5"/>
    <w:pPr>
      <w:numPr>
        <w:numId w:val="1"/>
      </w:numPr>
      <w:tabs>
        <w:tab w:val="left" w:pos="1890"/>
      </w:tabs>
      <w:autoSpaceDE w:val="0"/>
      <w:autoSpaceDN w:val="0"/>
      <w:adjustRightInd w:val="0"/>
      <w:spacing w:before="240" w:after="120" w:line="240" w:lineRule="auto"/>
    </w:pPr>
    <w:rPr>
      <w:rFonts w:ascii="Helvetica LT Std" w:hAnsi="Helvetica LT Std" w:cs="Helvetica LT Std"/>
      <w:color w:val="233F8F"/>
      <w:sz w:val="20"/>
      <w:szCs w:val="19"/>
    </w:rPr>
  </w:style>
  <w:style w:type="character" w:customStyle="1" w:styleId="AChar">
    <w:name w:val="A. ... Char"/>
    <w:basedOn w:val="DefaultParagraphFont"/>
    <w:link w:val="A3"/>
    <w:rsid w:val="00F576B5"/>
    <w:rPr>
      <w:rFonts w:ascii="Helvetica LT Std" w:hAnsi="Helvetica LT Std" w:cs="Helvetica LT Std"/>
      <w:color w:val="233F8F"/>
      <w:sz w:val="20"/>
      <w:szCs w:val="19"/>
    </w:rPr>
  </w:style>
  <w:style w:type="paragraph" w:customStyle="1" w:styleId="Text-body">
    <w:name w:val="Text-body"/>
    <w:basedOn w:val="Normal"/>
    <w:link w:val="Text-bodyChar"/>
    <w:qFormat/>
    <w:rsid w:val="005D757F"/>
    <w:pPr>
      <w:spacing w:line="240" w:lineRule="auto"/>
      <w:ind w:left="1440"/>
    </w:pPr>
    <w:rPr>
      <w:rFonts w:ascii="Helvetica LT Std" w:hAnsi="Helvetica LT Std"/>
      <w:sz w:val="20"/>
    </w:rPr>
  </w:style>
  <w:style w:type="character" w:customStyle="1" w:styleId="Text-bodyChar">
    <w:name w:val="Text-body Char"/>
    <w:basedOn w:val="DefaultParagraphFont"/>
    <w:link w:val="Text-body"/>
    <w:rsid w:val="005D757F"/>
    <w:rPr>
      <w:rFonts w:ascii="Helvetica LT Std" w:hAnsi="Helvetica LT Std"/>
      <w:sz w:val="20"/>
    </w:rPr>
  </w:style>
  <w:style w:type="paragraph" w:customStyle="1" w:styleId="1-text">
    <w:name w:val="1. - text"/>
    <w:basedOn w:val="Normal"/>
    <w:link w:val="1-textChar"/>
    <w:rsid w:val="005D757F"/>
    <w:pPr>
      <w:tabs>
        <w:tab w:val="left" w:pos="1890"/>
      </w:tabs>
      <w:autoSpaceDE w:val="0"/>
      <w:autoSpaceDN w:val="0"/>
      <w:adjustRightInd w:val="0"/>
      <w:spacing w:after="120" w:line="240" w:lineRule="auto"/>
    </w:pPr>
    <w:rPr>
      <w:rFonts w:ascii="Helvetica LT Std" w:hAnsi="Helvetica LT Std" w:cs="Helvetica LT Std"/>
      <w:sz w:val="20"/>
      <w:szCs w:val="19"/>
    </w:rPr>
  </w:style>
  <w:style w:type="character" w:customStyle="1" w:styleId="1-textChar">
    <w:name w:val="1. - text Char"/>
    <w:basedOn w:val="DefaultParagraphFont"/>
    <w:link w:val="1-text"/>
    <w:rsid w:val="005D757F"/>
    <w:rPr>
      <w:rFonts w:ascii="Helvetica LT Std" w:hAnsi="Helvetica LT Std" w:cs="Helvetica LT Std"/>
      <w:sz w:val="20"/>
      <w:szCs w:val="19"/>
    </w:rPr>
  </w:style>
  <w:style w:type="paragraph" w:customStyle="1" w:styleId="a">
    <w:name w:val="#.#"/>
    <w:basedOn w:val="SectionHeading"/>
    <w:link w:val="Char"/>
    <w:autoRedefine/>
    <w:qFormat/>
    <w:rsid w:val="008534B1"/>
    <w:pPr>
      <w:numPr>
        <w:ilvl w:val="1"/>
        <w:numId w:val="2"/>
      </w:numPr>
      <w:spacing w:before="360"/>
      <w:ind w:left="720" w:right="1818" w:hanging="720"/>
    </w:pPr>
  </w:style>
  <w:style w:type="paragraph" w:customStyle="1" w:styleId="a0">
    <w:name w:val="#.#.#"/>
    <w:basedOn w:val="a"/>
    <w:link w:val="Char0"/>
    <w:autoRedefine/>
    <w:qFormat/>
    <w:rsid w:val="00E1460C"/>
    <w:pPr>
      <w:numPr>
        <w:ilvl w:val="2"/>
      </w:numPr>
      <w:spacing w:before="320"/>
      <w:ind w:left="1440" w:right="0" w:hanging="810"/>
    </w:pPr>
    <w:rPr>
      <w:sz w:val="23"/>
      <w:szCs w:val="23"/>
    </w:rPr>
  </w:style>
  <w:style w:type="character" w:customStyle="1" w:styleId="Char">
    <w:name w:val="#.# Char"/>
    <w:basedOn w:val="SectionHeadingChar"/>
    <w:link w:val="a"/>
    <w:rsid w:val="008534B1"/>
    <w:rPr>
      <w:rFonts w:ascii="Helvetica LT Std" w:hAnsi="Helvetica LT Std" w:cs="Helvetica LT Std"/>
      <w:color w:val="233F8F"/>
      <w:sz w:val="28"/>
      <w:szCs w:val="28"/>
    </w:rPr>
  </w:style>
  <w:style w:type="character" w:customStyle="1" w:styleId="Char0">
    <w:name w:val="#.#.# Char"/>
    <w:basedOn w:val="Char"/>
    <w:link w:val="a0"/>
    <w:rsid w:val="00E1460C"/>
    <w:rPr>
      <w:rFonts w:ascii="Helvetica LT Std" w:hAnsi="Helvetica LT Std" w:cs="Helvetica LT Std"/>
      <w:color w:val="233F8F"/>
      <w:sz w:val="23"/>
      <w:szCs w:val="23"/>
    </w:rPr>
  </w:style>
  <w:style w:type="paragraph" w:customStyle="1" w:styleId="a2">
    <w:name w:val="#. ..."/>
    <w:basedOn w:val="1-text"/>
    <w:next w:val="A3"/>
    <w:link w:val="Char1"/>
    <w:qFormat/>
    <w:rsid w:val="00F576B5"/>
    <w:pPr>
      <w:numPr>
        <w:numId w:val="10"/>
      </w:numPr>
      <w:tabs>
        <w:tab w:val="left" w:pos="2790"/>
      </w:tabs>
    </w:pPr>
  </w:style>
  <w:style w:type="character" w:customStyle="1" w:styleId="Char1">
    <w:name w:val="#. ... Char"/>
    <w:basedOn w:val="1-textChar"/>
    <w:link w:val="a2"/>
    <w:rsid w:val="00F576B5"/>
    <w:rPr>
      <w:rFonts w:ascii="Helvetica LT Std" w:hAnsi="Helvetica LT Std" w:cs="Helvetica LT Std"/>
      <w:sz w:val="20"/>
      <w:szCs w:val="19"/>
    </w:rPr>
  </w:style>
  <w:style w:type="paragraph" w:customStyle="1" w:styleId="asection">
    <w:name w:val="a. section"/>
    <w:basedOn w:val="Normal"/>
    <w:next w:val="1-text"/>
    <w:link w:val="asectionChar"/>
    <w:qFormat/>
    <w:rsid w:val="00DA655E"/>
    <w:pPr>
      <w:numPr>
        <w:numId w:val="7"/>
      </w:numPr>
      <w:tabs>
        <w:tab w:val="left" w:pos="1890"/>
      </w:tabs>
      <w:autoSpaceDE w:val="0"/>
      <w:autoSpaceDN w:val="0"/>
      <w:adjustRightInd w:val="0"/>
      <w:spacing w:after="80" w:line="240" w:lineRule="auto"/>
    </w:pPr>
    <w:rPr>
      <w:rFonts w:ascii="Helvetica LT Std" w:hAnsi="Helvetica LT Std" w:cs="Helvetica LT Std"/>
      <w:sz w:val="20"/>
      <w:szCs w:val="19"/>
      <w14:scene3d>
        <w14:camera w14:prst="orthographicFront"/>
        <w14:lightRig w14:rig="threePt" w14:dir="t">
          <w14:rot w14:lat="0" w14:lon="0" w14:rev="0"/>
        </w14:lightRig>
      </w14:scene3d>
    </w:rPr>
  </w:style>
  <w:style w:type="character" w:customStyle="1" w:styleId="asectionChar">
    <w:name w:val="a. section Char"/>
    <w:basedOn w:val="DefaultParagraphFont"/>
    <w:link w:val="asection"/>
    <w:rsid w:val="00DA655E"/>
    <w:rPr>
      <w:rFonts w:ascii="Helvetica LT Std" w:hAnsi="Helvetica LT Std" w:cs="Helvetica LT Std"/>
      <w:sz w:val="20"/>
      <w:szCs w:val="19"/>
      <w14:scene3d>
        <w14:camera w14:prst="orthographicFront"/>
        <w14:lightRig w14:rig="threePt" w14:dir="t">
          <w14:rot w14:lat="0" w14:lon="0" w14:rev="0"/>
        </w14:lightRig>
      </w14:scene3d>
    </w:rPr>
  </w:style>
  <w:style w:type="paragraph" w:customStyle="1" w:styleId="i-subsubsection">
    <w:name w:val="i. - subsub section"/>
    <w:basedOn w:val="Normal"/>
    <w:link w:val="i-subsubsectionChar"/>
    <w:qFormat/>
    <w:rsid w:val="00393B73"/>
    <w:pPr>
      <w:numPr>
        <w:numId w:val="9"/>
      </w:numPr>
      <w:tabs>
        <w:tab w:val="left" w:pos="1890"/>
      </w:tabs>
      <w:autoSpaceDE w:val="0"/>
      <w:autoSpaceDN w:val="0"/>
      <w:adjustRightInd w:val="0"/>
      <w:spacing w:after="120" w:line="240" w:lineRule="auto"/>
      <w:ind w:left="3456" w:hanging="288"/>
    </w:pPr>
    <w:rPr>
      <w:rFonts w:ascii="Helvetica LT Std" w:hAnsi="Helvetica LT Std" w:cs="Helvetica LT Std"/>
      <w:sz w:val="20"/>
      <w:szCs w:val="19"/>
    </w:rPr>
  </w:style>
  <w:style w:type="character" w:customStyle="1" w:styleId="i-subsubsectionChar">
    <w:name w:val="i. - subsub section Char"/>
    <w:basedOn w:val="DefaultParagraphFont"/>
    <w:link w:val="i-subsubsection"/>
    <w:rsid w:val="00393B73"/>
    <w:rPr>
      <w:rFonts w:ascii="Helvetica LT Std" w:hAnsi="Helvetica LT Std" w:cs="Helvetica LT Std"/>
      <w:sz w:val="20"/>
      <w:szCs w:val="19"/>
    </w:rPr>
  </w:style>
  <w:style w:type="paragraph" w:customStyle="1" w:styleId="TableText">
    <w:name w:val="TableText"/>
    <w:basedOn w:val="Default"/>
    <w:link w:val="TableTextChar"/>
    <w:qFormat/>
    <w:rsid w:val="00CA78BF"/>
    <w:pPr>
      <w:ind w:left="144" w:right="144"/>
    </w:pPr>
    <w:rPr>
      <w:rFonts w:ascii="Helvetica LT Std Light" w:hAnsi="Helvetica LT Std Light" w:cs="Helvetica LT Std Light"/>
      <w:color w:val="211D1E"/>
      <w:sz w:val="20"/>
      <w:szCs w:val="20"/>
    </w:rPr>
  </w:style>
  <w:style w:type="character" w:customStyle="1" w:styleId="DefaultChar">
    <w:name w:val="Default Char"/>
    <w:basedOn w:val="DefaultParagraphFont"/>
    <w:link w:val="Default"/>
    <w:rsid w:val="00CA78BF"/>
    <w:rPr>
      <w:rFonts w:ascii="Helvetica LT Std" w:hAnsi="Helvetica LT Std" w:cs="Helvetica LT Std"/>
      <w:color w:val="000000"/>
      <w:sz w:val="24"/>
      <w:szCs w:val="24"/>
    </w:rPr>
  </w:style>
  <w:style w:type="character" w:customStyle="1" w:styleId="TableTextChar">
    <w:name w:val="TableText Char"/>
    <w:basedOn w:val="DefaultChar"/>
    <w:link w:val="TableText"/>
    <w:rsid w:val="00CA78BF"/>
    <w:rPr>
      <w:rFonts w:ascii="Helvetica LT Std Light" w:hAnsi="Helvetica LT Std Light" w:cs="Helvetica LT Std Light"/>
      <w:color w:val="211D1E"/>
      <w:sz w:val="20"/>
      <w:szCs w:val="20"/>
    </w:rPr>
  </w:style>
  <w:style w:type="table" w:customStyle="1" w:styleId="TableGrid10">
    <w:name w:val="Table Grid10"/>
    <w:basedOn w:val="TableNormal"/>
    <w:next w:val="TableGrid"/>
    <w:uiPriority w:val="39"/>
    <w:rsid w:val="00A00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Heading0">
    <w:name w:val="#.#.#_Heading"/>
    <w:basedOn w:val="SectionHeading"/>
    <w:link w:val="HeadingChar0"/>
    <w:rsid w:val="00B1551A"/>
    <w:pPr>
      <w:spacing w:before="240" w:after="200"/>
      <w:ind w:left="1224" w:hanging="504"/>
    </w:pPr>
    <w:rPr>
      <w:sz w:val="23"/>
    </w:rPr>
  </w:style>
  <w:style w:type="character" w:customStyle="1" w:styleId="HeadingChar0">
    <w:name w:val="#.#.#_Heading Char"/>
    <w:basedOn w:val="SectionHeadingChar"/>
    <w:link w:val="Heading0"/>
    <w:rsid w:val="00B1551A"/>
    <w:rPr>
      <w:rFonts w:ascii="Helvetica LT Std" w:hAnsi="Helvetica LT Std" w:cs="Helvetica LT Std"/>
      <w:color w:val="233F8F"/>
      <w:sz w:val="23"/>
      <w:szCs w:val="28"/>
    </w:rPr>
  </w:style>
  <w:style w:type="table" w:customStyle="1" w:styleId="TableGrid11">
    <w:name w:val="Table Grid11"/>
    <w:basedOn w:val="TableNormal"/>
    <w:next w:val="TableGrid"/>
    <w:uiPriority w:val="39"/>
    <w:rsid w:val="00B15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9">
    <w:name w:val="Table Grid9"/>
    <w:basedOn w:val="TableNormal"/>
    <w:next w:val="TableGrid"/>
    <w:uiPriority w:val="39"/>
    <w:rsid w:val="00B15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8">
    <w:name w:val="Table Grid8"/>
    <w:basedOn w:val="TableNormal"/>
    <w:next w:val="TableGrid"/>
    <w:uiPriority w:val="39"/>
    <w:rsid w:val="00B15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4">
    <w:name w:val="Table Grid4"/>
    <w:basedOn w:val="TableNormal"/>
    <w:next w:val="TableGrid"/>
    <w:uiPriority w:val="39"/>
    <w:rsid w:val="00444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7">
    <w:name w:val="Table Grid7"/>
    <w:basedOn w:val="TableNormal"/>
    <w:next w:val="TableGrid"/>
    <w:uiPriority w:val="39"/>
    <w:rsid w:val="001F0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12">
    <w:name w:val="Table Grid12"/>
    <w:basedOn w:val="TableNormal"/>
    <w:next w:val="TableGrid"/>
    <w:uiPriority w:val="39"/>
    <w:rsid w:val="00922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a1">
    <w:name w:val="a. ..."/>
    <w:basedOn w:val="a2"/>
    <w:next w:val="a2"/>
    <w:link w:val="aChar0"/>
    <w:rsid w:val="00BF5D2D"/>
    <w:pPr>
      <w:numPr>
        <w:numId w:val="47"/>
      </w:numPr>
      <w:tabs>
        <w:tab w:val="clear" w:pos="2790"/>
      </w:tabs>
    </w:pPr>
  </w:style>
  <w:style w:type="character" w:customStyle="1" w:styleId="aChar0">
    <w:name w:val="a. ... Char"/>
    <w:basedOn w:val="Char1"/>
    <w:link w:val="a1"/>
    <w:rsid w:val="00BF5D2D"/>
    <w:rPr>
      <w:rFonts w:ascii="Helvetica LT Std" w:hAnsi="Helvetica LT Std" w:cs="Helvetica LT Std"/>
      <w:sz w:val="20"/>
      <w:szCs w:val="19"/>
    </w:rPr>
  </w:style>
  <w:style w:type="paragraph" w:customStyle="1" w:styleId="Text-body-firstphraseblue">
    <w:name w:val="Text-body - first phrase blue"/>
    <w:basedOn w:val="Normal"/>
    <w:qFormat/>
    <w:rsid w:val="0045182A"/>
    <w:pPr>
      <w:numPr>
        <w:numId w:val="93"/>
      </w:numPr>
      <w:autoSpaceDE w:val="0"/>
      <w:autoSpaceDN w:val="0"/>
      <w:adjustRightInd w:val="0"/>
      <w:spacing w:after="213" w:line="240" w:lineRule="auto"/>
      <w:ind w:left="1440"/>
    </w:pPr>
    <w:rPr>
      <w:rFonts w:ascii="Helvetica LT Std" w:hAnsi="Helvetica LT Std" w:cs="Helvetica LT Std"/>
      <w:color w:val="233F8F"/>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717636">
      <w:bodyDiv w:val="1"/>
      <w:marLeft w:val="0"/>
      <w:marRight w:val="0"/>
      <w:marTop w:val="0"/>
      <w:marBottom w:val="0"/>
      <w:divBdr>
        <w:top w:val="none" w:sz="0" w:space="0" w:color="auto"/>
        <w:left w:val="none" w:sz="0" w:space="0" w:color="auto"/>
        <w:bottom w:val="none" w:sz="0" w:space="0" w:color="auto"/>
        <w:right w:val="none" w:sz="0" w:space="0" w:color="auto"/>
      </w:divBdr>
    </w:div>
    <w:div w:id="525798628">
      <w:bodyDiv w:val="1"/>
      <w:marLeft w:val="0"/>
      <w:marRight w:val="0"/>
      <w:marTop w:val="0"/>
      <w:marBottom w:val="0"/>
      <w:divBdr>
        <w:top w:val="none" w:sz="0" w:space="0" w:color="auto"/>
        <w:left w:val="none" w:sz="0" w:space="0" w:color="auto"/>
        <w:bottom w:val="none" w:sz="0" w:space="0" w:color="auto"/>
        <w:right w:val="none" w:sz="0" w:space="0" w:color="auto"/>
      </w:divBdr>
    </w:div>
    <w:div w:id="979073606">
      <w:bodyDiv w:val="1"/>
      <w:marLeft w:val="0"/>
      <w:marRight w:val="0"/>
      <w:marTop w:val="0"/>
      <w:marBottom w:val="0"/>
      <w:divBdr>
        <w:top w:val="none" w:sz="0" w:space="0" w:color="auto"/>
        <w:left w:val="none" w:sz="0" w:space="0" w:color="auto"/>
        <w:bottom w:val="none" w:sz="0" w:space="0" w:color="auto"/>
        <w:right w:val="none" w:sz="0" w:space="0" w:color="auto"/>
      </w:divBdr>
    </w:div>
    <w:div w:id="151434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8C1B-F793-4303-8C3E-5FF69EA08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1647</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Freas</dc:creator>
  <cp:keywords/>
  <dc:description/>
  <cp:lastModifiedBy>Zachery LeMel</cp:lastModifiedBy>
  <cp:revision>2</cp:revision>
  <cp:lastPrinted>2018-07-19T23:07:00Z</cp:lastPrinted>
  <dcterms:created xsi:type="dcterms:W3CDTF">2022-11-28T16:02:00Z</dcterms:created>
  <dcterms:modified xsi:type="dcterms:W3CDTF">2022-11-28T16:02:00Z</dcterms:modified>
</cp:coreProperties>
</file>