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Newton Cultural Council</w:t>
      </w:r>
    </w:p>
    <w:p>
      <w:pPr>
        <w:pStyle w:val="Body"/>
        <w:jc w:val="center"/>
      </w:pPr>
      <w:r>
        <w:rPr>
          <w:rtl w:val="0"/>
          <w:lang w:val="en-US"/>
        </w:rPr>
        <w:t>Meeting Minutes</w:t>
      </w:r>
    </w:p>
    <w:p>
      <w:pPr>
        <w:pStyle w:val="Body"/>
        <w:jc w:val="center"/>
      </w:pPr>
      <w:r>
        <w:rPr>
          <w:rtl w:val="0"/>
          <w:lang w:val="en-US"/>
        </w:rPr>
        <w:t>February 25, 2021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Attendees: </w:t>
      </w:r>
    </w:p>
    <w:p>
      <w:pPr>
        <w:pStyle w:val="Body"/>
        <w:bidi w:val="0"/>
      </w:pPr>
      <w:r>
        <w:rPr>
          <w:rtl w:val="0"/>
        </w:rPr>
        <w:t>Rebika Shaw Bendayan, Rakashi Chand, Patrick Costello, Jane Feigenson, Kathy Hassinger,  Grey Held, Lakshmi Kadambi, Jen Kaplan, Amelia LeClair, Emily O</w:t>
      </w:r>
      <w:r>
        <w:rPr>
          <w:rtl w:val="0"/>
        </w:rPr>
        <w:t>’</w:t>
      </w:r>
      <w:r>
        <w:rPr>
          <w:rtl w:val="0"/>
        </w:rPr>
        <w:t>Neil,  Chris Pitts,  Robin Stein, Kathleen Wright, Paula Gannon, Danielle Morriarty,  Guests Mayor Ruthanne Fuller.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Meeting began at 8:50A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Adjudication Discussion: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Chris Pitts opened the meeting with an update on the adjudication process.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Denial letters went out to 19 people.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A system has been put in place for those who received a denial letter.  If there are any issues or questions both the presenter and another council member will reach out to discuss the issue.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goal of the council is to help each applicant in any way.  The more communication the better in helping them to learn how to fill out the application properly.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Going forward the council will include information letting applicants know that we are available to assist and answer questions.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Patrick and the adjudication committee will put together the procedure for this entire process.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Grey suggested that we let the applicants know that there were many other applicants and funds were being stretched.  This would help grantee</w:t>
      </w:r>
      <w:r>
        <w:rPr>
          <w:rtl w:val="0"/>
        </w:rPr>
        <w:t>’</w:t>
      </w:r>
      <w:r>
        <w:rPr>
          <w:rtl w:val="0"/>
        </w:rPr>
        <w:t>s understand their funding amount.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City Update: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The Mayor welcomed the council and expressed her appreciation for all that has been done over this challenging year.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Things are looking more hopeful now as the spring approaches and more vaccines are happening.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arts and culture sectors have been hit hard.   The resiliency in coping with the changing environment should be applauded.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Mayor discussed one of her core principles to stay connected to those who face the greatest need.  Artists are among this group.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Mayor also announced that the city will match the MCC and allot $21,600 for next years funding.  </w:t>
      </w:r>
      <w:r>
        <w:rPr>
          <w:rtl w:val="0"/>
        </w:rPr>
        <w:t>“</w:t>
      </w:r>
      <w:r>
        <w:rPr>
          <w:rtl w:val="0"/>
        </w:rPr>
        <w:t>Let</w:t>
      </w:r>
      <w:r>
        <w:rPr>
          <w:rtl w:val="0"/>
        </w:rPr>
        <w:t>’</w:t>
      </w:r>
      <w:r>
        <w:rPr>
          <w:rtl w:val="0"/>
        </w:rPr>
        <w:t>s value our artists, no-one should work for free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 special show of appreciation went to Paula Gannon and Danielle Moriarty for maneuvering through this challenging year.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Adjudication Discussion: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Kathy H brought up the issue of recusing when dollar amounts are discussed.  It can be awkward when the applicant on the council is present.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Lakshmi suggested that when the council adjudicates next year that we may want to put the core Newton programs with history in one group ( such as Newton Open Studios) and new applicants in a separate group.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Emily started a discussion on putting a cap on funds.  This may change yearly.  Rebika felt this could be used as a guideline.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council discussed working on the formula a bit more but Jenn suggested that there are many factors and that it is difficult to paint with a broad brush.  These applicants are all different.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Rebika suggested that we be clear on what our priorities are from the beginning when adjudicating.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Grey suggested we look at the whole group of applicants and see the different genre as a whole.  Paula suggested we review the past and see the different genres funded.  The marketing committee will review this with the help of Kathleen (who has a long list of grantees)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It was suggested that the Reception Committee now become the Event Committee and incorporate an event that helps to educate applicants.  A suggested date of September or early October to hold an informational session was discussed.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Survey: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Chris will update with the help of the council and send it out by tomorrow, February 26th.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council discussed expanding its mailing list to include; Temples, Churches, schools and colleges, Library.  The Marketing Committee will work on this.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survey must be out by March 1st.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Once the annual report is done and the distribution of the survey is out then the funded  letters can be sent.  The sooner the better.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meeting ended at 10:20A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next council meeting will be held on March 18, 2021 @ 9:00A.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