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Newton Cultural Council</w:t>
      </w:r>
    </w:p>
    <w:p>
      <w:pPr>
        <w:pStyle w:val="Body"/>
        <w:jc w:val="center"/>
      </w:pPr>
      <w:r>
        <w:rPr>
          <w:rtl w:val="0"/>
          <w:lang w:val="en-US"/>
        </w:rPr>
        <w:t>March 18, 2021</w:t>
      </w:r>
    </w:p>
    <w:p>
      <w:pPr>
        <w:pStyle w:val="Body"/>
        <w:jc w:val="center"/>
      </w:pPr>
      <w:r>
        <w:rPr>
          <w:rtl w:val="0"/>
          <w:lang w:val="en-US"/>
        </w:rPr>
        <w:t>Minutes</w:t>
      </w:r>
    </w:p>
    <w:p>
      <w:pPr>
        <w:pStyle w:val="Body"/>
        <w:jc w:val="center"/>
      </w:pPr>
    </w:p>
    <w:p>
      <w:pPr>
        <w:pStyle w:val="Body"/>
        <w:jc w:val="left"/>
      </w:pPr>
      <w:r>
        <w:rPr>
          <w:rtl w:val="0"/>
          <w:lang w:val="en-US"/>
        </w:rPr>
        <w:t>Attendees:  Rakashi Chand, Patrick Costello, Jane Feigenson, Rich Frost, Paula Gagnon, Kathy Hassinger, Grey Held, Jen Kaplan,  Lakshmi Kadambi, Amelia LeClair, Danielle Moriarty, Emily 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Neil, Chris Pitts, Rebika Shaw, Robin Stein,  Kathleen Wright.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The meeting began at 9:05A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Minutes from the February 25, 2021 meeting were approved and then voted to table as a few people did receive them.  They will be revoted on next meeting.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Treasurer Report: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Kathleen reported that about 25% of new grantee contracts are in hand.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Monies from the MCC are expected in 4-8 weeks.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The process will be that all paper work will be submitted once a month and the controller will then review with 2 members of the council.  A check will then be cut and mailed to each grantee.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There was discussion on sending checks out faster.  A vote was taken and approved to start sending monies out.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All paperwork must be mailed in as stated in the approval letter.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To date there is $11,000 in the NCC account.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Adjudication Committee: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Going forward the council will change the email address or subject line to say Newton.  This may help in any confusion or mail going into spam.  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The Adjudication Committee will make notes of all items and discuss going forward.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Jane suggested listing all approved Grantees on the website.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Amy suggested that all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deep divers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should attend their grantees events and follow up with them to make sure they have received their paperwork.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Patrick will be meeting with the adjudication sub committee to review scoring and align with the MCC. In turn the MCC will also work to improve their process.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Kathy H, suggested when financial allocations are discussed that involves council members that they leave the room.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Emily suggested that those who do not have a conflict should be involved in the financials of each grantee.  That way there is no conflict or awkwardness.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Zoom has made this past years process very challenging.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Survey: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Forty responses have been submitted.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A link to the responses will be sent to the council for review.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Going forward the council will set a target goal for the number of responses.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Lakshmi suggested a summer intern to assist with the survey and outreach.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The council agreed to end the survey now as its end date.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Outreach: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Robin suggested we bring awareness to targeted groups especially as it relates to a more diverse population.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Diversity: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Kathy stated that the committee has met and has engaged three very talented people from outside the council.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Diversity Committee will develop a form and process for new prospects.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council can have up to 22 members.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August will mark the end of many council members terms.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Kathleen Wright will not return as her term is ending.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Reception: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Emily reported the reception will take place on September 23rd , 6:30P to 8:00P.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Chris will create a video of past events.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Depending on Covid, it may or may not be in person.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next meeting will be April 15 @ 9:00A via Zoom.  Following the council will then meet the 3rd Thursday of every other month.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meeting ended at 10:48A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